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7C1" w:rsidRPr="006C27C1" w:rsidRDefault="006C27C1" w:rsidP="006C27C1">
      <w:pPr>
        <w:spacing w:after="0" w:line="360" w:lineRule="auto"/>
        <w:ind w:right="-270"/>
        <w:jc w:val="center"/>
        <w:rPr>
          <w:rFonts w:ascii="Times New Roman" w:eastAsia="Times New Roman" w:hAnsi="Times New Roman" w:cs="Times New Roman"/>
          <w:b/>
          <w:sz w:val="24"/>
          <w:szCs w:val="24"/>
          <w:u w:val="single"/>
          <w:lang w:eastAsia="en-US"/>
        </w:rPr>
      </w:pPr>
      <w:r w:rsidRPr="006C27C1">
        <w:rPr>
          <w:rFonts w:ascii="Times New Roman" w:eastAsia="Times New Roman" w:hAnsi="Times New Roman" w:cs="Times New Roman"/>
          <w:b/>
          <w:sz w:val="24"/>
          <w:szCs w:val="24"/>
          <w:lang w:val="en-US" w:eastAsia="en-US"/>
        </w:rPr>
        <w:t xml:space="preserve">Topic of Study Materials: </w:t>
      </w:r>
      <w:r w:rsidRPr="006C27C1">
        <w:rPr>
          <w:rFonts w:ascii="Times New Roman" w:eastAsia="Times New Roman" w:hAnsi="Times New Roman" w:cs="Times New Roman"/>
          <w:b/>
          <w:sz w:val="24"/>
          <w:szCs w:val="24"/>
          <w:u w:val="single"/>
          <w:lang w:eastAsia="en-US"/>
        </w:rPr>
        <w:t>Economic Growth and Sustainable Development</w:t>
      </w:r>
    </w:p>
    <w:p w:rsidR="00532A12" w:rsidRPr="009D771C" w:rsidRDefault="00532A12" w:rsidP="00532A12">
      <w:pPr>
        <w:spacing w:after="0" w:line="360" w:lineRule="auto"/>
        <w:ind w:right="-270"/>
        <w:jc w:val="center"/>
        <w:rPr>
          <w:rFonts w:ascii="Times New Roman" w:eastAsia="Times New Roman" w:hAnsi="Times New Roman" w:cs="Times New Roman"/>
          <w:b/>
          <w:sz w:val="24"/>
          <w:szCs w:val="24"/>
          <w:lang w:val="en-US" w:eastAsia="en-US"/>
        </w:rPr>
      </w:pPr>
      <w:r w:rsidRPr="009D771C">
        <w:rPr>
          <w:rFonts w:ascii="Times New Roman" w:eastAsia="Times New Roman" w:hAnsi="Times New Roman" w:cs="Times New Roman"/>
          <w:b/>
          <w:sz w:val="24"/>
          <w:szCs w:val="24"/>
          <w:lang w:val="en-US" w:eastAsia="en-US"/>
        </w:rPr>
        <w:t>Study Materials</w:t>
      </w:r>
      <w:r w:rsidR="009825A1">
        <w:rPr>
          <w:rFonts w:ascii="Times New Roman" w:eastAsia="Times New Roman" w:hAnsi="Times New Roman" w:cs="Times New Roman"/>
          <w:b/>
          <w:sz w:val="24"/>
          <w:szCs w:val="24"/>
          <w:lang w:val="en-US" w:eastAsia="en-US"/>
        </w:rPr>
        <w:t xml:space="preserve"> -2</w:t>
      </w:r>
    </w:p>
    <w:p w:rsidR="00532A12" w:rsidRPr="009D771C" w:rsidRDefault="00532A12" w:rsidP="00532A12">
      <w:pPr>
        <w:spacing w:after="0" w:line="360" w:lineRule="auto"/>
        <w:ind w:right="-270"/>
        <w:jc w:val="center"/>
        <w:rPr>
          <w:rFonts w:ascii="Times New Roman" w:eastAsia="Times New Roman" w:hAnsi="Times New Roman" w:cs="Times New Roman"/>
          <w:b/>
          <w:sz w:val="24"/>
          <w:szCs w:val="24"/>
          <w:lang w:val="en-US" w:eastAsia="en-US"/>
        </w:rPr>
      </w:pPr>
      <w:r w:rsidRPr="009D771C">
        <w:rPr>
          <w:rFonts w:ascii="Times New Roman" w:eastAsia="Times New Roman" w:hAnsi="Times New Roman" w:cs="Times New Roman"/>
          <w:b/>
          <w:sz w:val="24"/>
          <w:szCs w:val="24"/>
          <w:lang w:val="en-US" w:eastAsia="en-US"/>
        </w:rPr>
        <w:t xml:space="preserve">Paper/ Course No. ECO 203 (PG. </w:t>
      </w:r>
      <w:proofErr w:type="spellStart"/>
      <w:proofErr w:type="gramStart"/>
      <w:r w:rsidRPr="009D771C">
        <w:rPr>
          <w:rFonts w:ascii="Times New Roman" w:eastAsia="Times New Roman" w:hAnsi="Times New Roman" w:cs="Times New Roman"/>
          <w:b/>
          <w:sz w:val="24"/>
          <w:szCs w:val="24"/>
          <w:lang w:val="en-US" w:eastAsia="en-US"/>
        </w:rPr>
        <w:t>Sem</w:t>
      </w:r>
      <w:proofErr w:type="spellEnd"/>
      <w:proofErr w:type="gramEnd"/>
      <w:r w:rsidRPr="009D771C">
        <w:rPr>
          <w:rFonts w:ascii="Times New Roman" w:eastAsia="Times New Roman" w:hAnsi="Times New Roman" w:cs="Times New Roman"/>
          <w:b/>
          <w:sz w:val="24"/>
          <w:szCs w:val="24"/>
          <w:lang w:val="en-US" w:eastAsia="en-US"/>
        </w:rPr>
        <w:t xml:space="preserve"> II)</w:t>
      </w:r>
    </w:p>
    <w:p w:rsidR="00532A12" w:rsidRPr="009D771C" w:rsidRDefault="00532A12" w:rsidP="00532A12">
      <w:pPr>
        <w:spacing w:after="0" w:line="360" w:lineRule="auto"/>
        <w:ind w:right="-270"/>
        <w:rPr>
          <w:rFonts w:ascii="Times New Roman" w:eastAsia="Times New Roman" w:hAnsi="Times New Roman" w:cs="Times New Roman"/>
          <w:b/>
          <w:sz w:val="24"/>
          <w:szCs w:val="24"/>
          <w:lang w:val="en-US" w:eastAsia="en-US"/>
        </w:rPr>
      </w:pPr>
      <w:r w:rsidRPr="009D771C">
        <w:rPr>
          <w:rFonts w:ascii="Times New Roman" w:eastAsia="Times New Roman" w:hAnsi="Times New Roman" w:cs="Times New Roman"/>
          <w:b/>
          <w:sz w:val="24"/>
          <w:szCs w:val="24"/>
          <w:lang w:val="en-US" w:eastAsia="en-US"/>
        </w:rPr>
        <w:t xml:space="preserve">                                          Name of the Paper: Environmental Economics</w:t>
      </w:r>
    </w:p>
    <w:p w:rsidR="00532A12" w:rsidRDefault="00532A12" w:rsidP="00532A12">
      <w:pPr>
        <w:spacing w:after="0" w:line="360" w:lineRule="auto"/>
        <w:ind w:right="-270"/>
        <w:jc w:val="center"/>
        <w:rPr>
          <w:rFonts w:ascii="Times New Roman" w:eastAsia="Times New Roman" w:hAnsi="Times New Roman" w:cs="Times New Roman"/>
          <w:b/>
          <w:sz w:val="24"/>
          <w:szCs w:val="24"/>
          <w:lang w:val="en-US" w:eastAsia="en-US"/>
        </w:rPr>
      </w:pPr>
      <w:r w:rsidRPr="009D771C">
        <w:rPr>
          <w:rFonts w:ascii="Times New Roman" w:eastAsia="Times New Roman" w:hAnsi="Times New Roman" w:cs="Times New Roman"/>
          <w:b/>
          <w:sz w:val="24"/>
          <w:szCs w:val="24"/>
          <w:lang w:val="en-US" w:eastAsia="en-US"/>
        </w:rPr>
        <w:t>Group A</w:t>
      </w:r>
    </w:p>
    <w:p w:rsidR="005C6A76" w:rsidRPr="009D771C" w:rsidRDefault="005C6A76" w:rsidP="00532A12">
      <w:pPr>
        <w:spacing w:after="0" w:line="360" w:lineRule="auto"/>
        <w:ind w:right="-270"/>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 xml:space="preserve">Teacher: Dr. </w:t>
      </w:r>
      <w:proofErr w:type="spellStart"/>
      <w:r>
        <w:rPr>
          <w:rFonts w:ascii="Times New Roman" w:eastAsia="Times New Roman" w:hAnsi="Times New Roman" w:cs="Times New Roman"/>
          <w:b/>
          <w:sz w:val="24"/>
          <w:szCs w:val="24"/>
          <w:lang w:val="en-US" w:eastAsia="en-US"/>
        </w:rPr>
        <w:t>Sebak</w:t>
      </w:r>
      <w:proofErr w:type="spellEnd"/>
      <w:r>
        <w:rPr>
          <w:rFonts w:ascii="Times New Roman" w:eastAsia="Times New Roman" w:hAnsi="Times New Roman" w:cs="Times New Roman"/>
          <w:b/>
          <w:sz w:val="24"/>
          <w:szCs w:val="24"/>
          <w:lang w:val="en-US" w:eastAsia="en-US"/>
        </w:rPr>
        <w:t xml:space="preserve"> Kumar Jana</w:t>
      </w:r>
    </w:p>
    <w:p w:rsidR="00532A12" w:rsidRPr="009D771C" w:rsidRDefault="00532A12" w:rsidP="00532A12">
      <w:pPr>
        <w:spacing w:after="0" w:line="360" w:lineRule="auto"/>
        <w:ind w:right="-270"/>
        <w:jc w:val="center"/>
        <w:rPr>
          <w:rFonts w:ascii="Times New Roman" w:hAnsi="Times New Roman" w:cs="Times New Roman"/>
          <w:b/>
          <w:sz w:val="24"/>
          <w:szCs w:val="24"/>
          <w:u w:val="single"/>
        </w:rPr>
      </w:pPr>
    </w:p>
    <w:p w:rsidR="00EE7DBD" w:rsidRPr="00C74A33" w:rsidRDefault="00EE7DBD" w:rsidP="00FF1E49">
      <w:pPr>
        <w:spacing w:after="0" w:line="360" w:lineRule="auto"/>
        <w:jc w:val="both"/>
        <w:rPr>
          <w:rFonts w:ascii="Times New Roman" w:eastAsia="Times New Roman" w:hAnsi="Times New Roman" w:cs="Times New Roman"/>
          <w:b/>
          <w:color w:val="0E101A"/>
          <w:sz w:val="24"/>
          <w:szCs w:val="24"/>
          <w:u w:val="single"/>
        </w:rPr>
      </w:pPr>
      <w:r w:rsidRPr="00C74A33">
        <w:rPr>
          <w:rFonts w:ascii="Times New Roman" w:eastAsia="Times New Roman" w:hAnsi="Times New Roman" w:cs="Times New Roman"/>
          <w:b/>
          <w:color w:val="0E101A"/>
          <w:sz w:val="24"/>
          <w:szCs w:val="24"/>
          <w:u w:val="single"/>
        </w:rPr>
        <w:t>4. Economic Growth and Sustainable Development</w:t>
      </w:r>
    </w:p>
    <w:p w:rsidR="00EE7DBD" w:rsidRPr="00FF1E49" w:rsidRDefault="00EE7DBD" w:rsidP="00FF1E49">
      <w:pPr>
        <w:spacing w:after="0" w:line="360" w:lineRule="auto"/>
        <w:jc w:val="both"/>
        <w:rPr>
          <w:rFonts w:ascii="Times New Roman" w:eastAsia="Times New Roman" w:hAnsi="Times New Roman" w:cs="Times New Roman"/>
          <w:color w:val="0E101A"/>
          <w:sz w:val="24"/>
          <w:szCs w:val="24"/>
        </w:rPr>
      </w:pPr>
    </w:p>
    <w:p w:rsidR="000131A9" w:rsidRPr="000131A9" w:rsidRDefault="00C74A33" w:rsidP="00FF1E49">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4.1 SUSTAINABLE DEVELOPMENT</w:t>
      </w:r>
    </w:p>
    <w:p w:rsidR="00FF1E49" w:rsidRDefault="00FF1E49" w:rsidP="00FF1E49">
      <w:pPr>
        <w:spacing w:line="360" w:lineRule="auto"/>
        <w:jc w:val="both"/>
        <w:rPr>
          <w:rFonts w:ascii="Times New Roman" w:hAnsi="Times New Roman" w:cs="Times New Roman"/>
          <w:bCs/>
          <w:sz w:val="24"/>
          <w:szCs w:val="24"/>
        </w:rPr>
      </w:pPr>
      <w:r w:rsidRPr="00FF1E49">
        <w:rPr>
          <w:rFonts w:ascii="Times New Roman" w:hAnsi="Times New Roman" w:cs="Times New Roman"/>
          <w:bCs/>
          <w:iCs/>
          <w:sz w:val="24"/>
          <w:szCs w:val="24"/>
        </w:rPr>
        <w:t xml:space="preserve">Sustainable development has been defined in various ways by various authors </w:t>
      </w:r>
      <w:proofErr w:type="gramStart"/>
      <w:r w:rsidRPr="00FF1E49">
        <w:rPr>
          <w:rFonts w:ascii="Times New Roman" w:hAnsi="Times New Roman" w:cs="Times New Roman"/>
          <w:bCs/>
          <w:iCs/>
          <w:sz w:val="24"/>
          <w:szCs w:val="24"/>
        </w:rPr>
        <w:t>( Pearce</w:t>
      </w:r>
      <w:proofErr w:type="gramEnd"/>
      <w:r w:rsidRPr="00FF1E49">
        <w:rPr>
          <w:rFonts w:ascii="Times New Roman" w:hAnsi="Times New Roman" w:cs="Times New Roman"/>
          <w:bCs/>
          <w:iCs/>
          <w:sz w:val="24"/>
          <w:szCs w:val="24"/>
        </w:rPr>
        <w:t xml:space="preserve"> 1998, </w:t>
      </w:r>
      <w:proofErr w:type="spellStart"/>
      <w:r w:rsidRPr="00FF1E49">
        <w:rPr>
          <w:rFonts w:ascii="Times New Roman" w:hAnsi="Times New Roman" w:cs="Times New Roman"/>
          <w:bCs/>
          <w:iCs/>
          <w:sz w:val="24"/>
          <w:szCs w:val="24"/>
        </w:rPr>
        <w:t>Dexhage</w:t>
      </w:r>
      <w:proofErr w:type="spellEnd"/>
      <w:r w:rsidRPr="00FF1E49">
        <w:rPr>
          <w:rFonts w:ascii="Times New Roman" w:hAnsi="Times New Roman" w:cs="Times New Roman"/>
          <w:bCs/>
          <w:iCs/>
          <w:sz w:val="24"/>
          <w:szCs w:val="24"/>
        </w:rPr>
        <w:t xml:space="preserve"> et al 2010, </w:t>
      </w:r>
      <w:proofErr w:type="spellStart"/>
      <w:r w:rsidRPr="00FF1E49">
        <w:rPr>
          <w:rFonts w:ascii="Times New Roman" w:hAnsi="Times New Roman" w:cs="Times New Roman"/>
          <w:bCs/>
          <w:iCs/>
          <w:sz w:val="24"/>
          <w:szCs w:val="24"/>
        </w:rPr>
        <w:t>Stavins</w:t>
      </w:r>
      <w:proofErr w:type="spellEnd"/>
      <w:r w:rsidRPr="00FF1E49">
        <w:rPr>
          <w:rFonts w:ascii="Times New Roman" w:hAnsi="Times New Roman" w:cs="Times New Roman"/>
          <w:bCs/>
          <w:iCs/>
          <w:sz w:val="24"/>
          <w:szCs w:val="24"/>
        </w:rPr>
        <w:t xml:space="preserve"> 2003, Arrow et al 2010, World </w:t>
      </w:r>
      <w:proofErr w:type="spellStart"/>
      <w:r w:rsidRPr="00FF1E49">
        <w:rPr>
          <w:rFonts w:ascii="Times New Roman" w:hAnsi="Times New Roman" w:cs="Times New Roman"/>
          <w:bCs/>
          <w:iCs/>
          <w:sz w:val="24"/>
          <w:szCs w:val="24"/>
        </w:rPr>
        <w:t>Enviro</w:t>
      </w:r>
      <w:proofErr w:type="spellEnd"/>
      <w:r w:rsidRPr="00FF1E49">
        <w:rPr>
          <w:rFonts w:ascii="Times New Roman" w:hAnsi="Times New Roman" w:cs="Times New Roman"/>
          <w:bCs/>
          <w:iCs/>
          <w:sz w:val="24"/>
          <w:szCs w:val="24"/>
        </w:rPr>
        <w:t xml:space="preserve">, Daly 2005, </w:t>
      </w:r>
      <w:proofErr w:type="spellStart"/>
      <w:r w:rsidRPr="00FF1E49">
        <w:rPr>
          <w:rFonts w:ascii="Times New Roman" w:hAnsi="Times New Roman" w:cs="Times New Roman"/>
          <w:bCs/>
          <w:iCs/>
          <w:sz w:val="24"/>
          <w:szCs w:val="24"/>
        </w:rPr>
        <w:t>Mukherje</w:t>
      </w:r>
      <w:proofErr w:type="spellEnd"/>
      <w:r w:rsidRPr="00FF1E49">
        <w:rPr>
          <w:rFonts w:ascii="Times New Roman" w:hAnsi="Times New Roman" w:cs="Times New Roman"/>
          <w:bCs/>
          <w:iCs/>
          <w:sz w:val="24"/>
          <w:szCs w:val="24"/>
        </w:rPr>
        <w:t xml:space="preserve"> et al 2006). </w:t>
      </w:r>
      <w:proofErr w:type="gramStart"/>
      <w:r w:rsidRPr="00FF1E49">
        <w:rPr>
          <w:rFonts w:ascii="Times New Roman" w:hAnsi="Times New Roman" w:cs="Times New Roman"/>
          <w:bCs/>
          <w:iCs/>
          <w:sz w:val="24"/>
          <w:szCs w:val="24"/>
        </w:rPr>
        <w:t xml:space="preserve">According to </w:t>
      </w:r>
      <w:proofErr w:type="spellStart"/>
      <w:r w:rsidRPr="00FF1E49">
        <w:rPr>
          <w:rFonts w:ascii="Times New Roman" w:hAnsi="Times New Roman" w:cs="Times New Roman"/>
          <w:bCs/>
          <w:sz w:val="24"/>
          <w:szCs w:val="24"/>
        </w:rPr>
        <w:t>Pezzey</w:t>
      </w:r>
      <w:proofErr w:type="spellEnd"/>
      <w:r w:rsidRPr="00FF1E49">
        <w:rPr>
          <w:rFonts w:ascii="Times New Roman" w:hAnsi="Times New Roman" w:cs="Times New Roman"/>
          <w:bCs/>
          <w:sz w:val="24"/>
          <w:szCs w:val="24"/>
        </w:rPr>
        <w:t xml:space="preserve"> </w:t>
      </w:r>
      <w:r w:rsidRPr="00FF1E49">
        <w:rPr>
          <w:rFonts w:ascii="Times New Roman" w:hAnsi="Times New Roman" w:cs="Times New Roman"/>
          <w:bCs/>
          <w:iCs/>
          <w:sz w:val="24"/>
          <w:szCs w:val="24"/>
        </w:rPr>
        <w:t>“Sustainability is defined as non-declining utility of a representative member of society for millennia into the future”.</w:t>
      </w:r>
      <w:proofErr w:type="gramEnd"/>
      <w:r w:rsidRPr="00FF1E49">
        <w:rPr>
          <w:rFonts w:ascii="Times New Roman" w:hAnsi="Times New Roman" w:cs="Times New Roman"/>
          <w:bCs/>
          <w:iCs/>
          <w:sz w:val="24"/>
          <w:szCs w:val="24"/>
        </w:rPr>
        <w:t xml:space="preserve"> </w:t>
      </w:r>
      <w:proofErr w:type="spellStart"/>
      <w:r w:rsidRPr="00FF1E49">
        <w:rPr>
          <w:rFonts w:ascii="Times New Roman" w:hAnsi="Times New Roman" w:cs="Times New Roman"/>
          <w:bCs/>
          <w:sz w:val="24"/>
          <w:szCs w:val="24"/>
        </w:rPr>
        <w:t>Barbier</w:t>
      </w:r>
      <w:proofErr w:type="spellEnd"/>
      <w:r w:rsidRPr="00FF1E49">
        <w:rPr>
          <w:rFonts w:ascii="Times New Roman" w:hAnsi="Times New Roman" w:cs="Times New Roman"/>
          <w:bCs/>
          <w:sz w:val="24"/>
          <w:szCs w:val="24"/>
        </w:rPr>
        <w:t xml:space="preserve"> and </w:t>
      </w:r>
      <w:proofErr w:type="spellStart"/>
      <w:r w:rsidRPr="00FF1E49">
        <w:rPr>
          <w:rFonts w:ascii="Times New Roman" w:hAnsi="Times New Roman" w:cs="Times New Roman"/>
          <w:bCs/>
          <w:sz w:val="24"/>
          <w:szCs w:val="24"/>
        </w:rPr>
        <w:t>Markandy</w:t>
      </w:r>
      <w:proofErr w:type="spellEnd"/>
      <w:r w:rsidRPr="00FF1E49">
        <w:rPr>
          <w:rFonts w:ascii="Times New Roman" w:hAnsi="Times New Roman" w:cs="Times New Roman"/>
          <w:bCs/>
          <w:sz w:val="24"/>
          <w:szCs w:val="24"/>
        </w:rPr>
        <w:t xml:space="preserve"> has opined </w:t>
      </w:r>
      <w:r w:rsidRPr="00FF1E49">
        <w:rPr>
          <w:rFonts w:ascii="Times New Roman" w:hAnsi="Times New Roman" w:cs="Times New Roman"/>
          <w:bCs/>
          <w:iCs/>
          <w:sz w:val="24"/>
          <w:szCs w:val="24"/>
        </w:rPr>
        <w:t>“Sustainable activity is...that level of economic maximization of net benefits of economic development, subject to maintaining the services quality of natural resources over time.”</w:t>
      </w:r>
      <w:r w:rsidRPr="00FF1E49">
        <w:rPr>
          <w:rFonts w:ascii="Times New Roman" w:hAnsi="Times New Roman" w:cs="Times New Roman"/>
          <w:sz w:val="24"/>
          <w:szCs w:val="24"/>
        </w:rPr>
        <w:t xml:space="preserve"> </w:t>
      </w:r>
      <w:r w:rsidRPr="00FF1E49">
        <w:rPr>
          <w:rFonts w:ascii="Times New Roman" w:hAnsi="Times New Roman" w:cs="Times New Roman"/>
          <w:bCs/>
          <w:sz w:val="24"/>
          <w:szCs w:val="24"/>
        </w:rPr>
        <w:t xml:space="preserve">   </w:t>
      </w:r>
      <w:proofErr w:type="gramStart"/>
      <w:r w:rsidRPr="00FF1E49">
        <w:rPr>
          <w:rFonts w:ascii="Times New Roman" w:hAnsi="Times New Roman" w:cs="Times New Roman"/>
          <w:bCs/>
          <w:sz w:val="24"/>
          <w:szCs w:val="24"/>
        </w:rPr>
        <w:t>According to World Commission on Environment and Development (WCED, 1987) “</w:t>
      </w:r>
      <w:r w:rsidRPr="00FF1E49">
        <w:rPr>
          <w:rFonts w:ascii="Times New Roman" w:hAnsi="Times New Roman" w:cs="Times New Roman"/>
          <w:bCs/>
          <w:iCs/>
          <w:sz w:val="24"/>
          <w:szCs w:val="24"/>
        </w:rPr>
        <w:t>Sustainable development is development that meets the needs of the present generation without compromising the ability of future generations to meet their own needs”</w:t>
      </w:r>
      <w:r w:rsidRPr="00FF1E49">
        <w:rPr>
          <w:rFonts w:ascii="Times New Roman" w:hAnsi="Times New Roman" w:cs="Times New Roman"/>
          <w:sz w:val="24"/>
          <w:szCs w:val="24"/>
        </w:rPr>
        <w:t>.</w:t>
      </w:r>
      <w:proofErr w:type="gramEnd"/>
      <w:r w:rsidRPr="00FF1E49">
        <w:rPr>
          <w:rFonts w:ascii="Times New Roman" w:hAnsi="Times New Roman" w:cs="Times New Roman"/>
          <w:sz w:val="24"/>
          <w:szCs w:val="24"/>
        </w:rPr>
        <w:t xml:space="preserve"> </w:t>
      </w:r>
      <w:r w:rsidRPr="00FF1E49">
        <w:rPr>
          <w:rFonts w:ascii="Times New Roman" w:hAnsi="Times New Roman" w:cs="Times New Roman"/>
          <w:bCs/>
          <w:iCs/>
          <w:sz w:val="24"/>
          <w:szCs w:val="24"/>
        </w:rPr>
        <w:t>The alternative approach to sustainable development is to focus on natural capital assets and suggest that they should not decline through time (</w:t>
      </w:r>
      <w:r w:rsidRPr="00FF1E49">
        <w:rPr>
          <w:rFonts w:ascii="Times New Roman" w:hAnsi="Times New Roman" w:cs="Times New Roman"/>
          <w:bCs/>
          <w:sz w:val="24"/>
          <w:szCs w:val="24"/>
        </w:rPr>
        <w:t xml:space="preserve">Pearce </w:t>
      </w:r>
      <w:r w:rsidRPr="00FF1E49">
        <w:rPr>
          <w:rFonts w:ascii="Times New Roman" w:hAnsi="Times New Roman" w:cs="Times New Roman"/>
          <w:bCs/>
          <w:iCs/>
          <w:sz w:val="24"/>
          <w:szCs w:val="24"/>
        </w:rPr>
        <w:t xml:space="preserve">et al. </w:t>
      </w:r>
      <w:r w:rsidRPr="00FF1E49">
        <w:rPr>
          <w:rFonts w:ascii="Times New Roman" w:hAnsi="Times New Roman" w:cs="Times New Roman"/>
          <w:bCs/>
          <w:sz w:val="24"/>
          <w:szCs w:val="24"/>
        </w:rPr>
        <w:t xml:space="preserve">1989). </w:t>
      </w:r>
      <w:r w:rsidRPr="00FF1E49">
        <w:rPr>
          <w:rFonts w:ascii="Times New Roman" w:hAnsi="Times New Roman" w:cs="Times New Roman"/>
          <w:bCs/>
          <w:iCs/>
          <w:sz w:val="24"/>
          <w:szCs w:val="24"/>
        </w:rPr>
        <w:t>According to Daly “Sustainable economy is one that can be maintained indefinitely into the future in the face of biophysical limits.”</w:t>
      </w:r>
      <w:r w:rsidRPr="00FF1E49">
        <w:rPr>
          <w:rFonts w:ascii="Times New Roman" w:hAnsi="Times New Roman" w:cs="Times New Roman"/>
          <w:bCs/>
          <w:sz w:val="24"/>
          <w:szCs w:val="24"/>
        </w:rPr>
        <w:t xml:space="preserve"> </w:t>
      </w:r>
    </w:p>
    <w:p w:rsidR="000131A9" w:rsidRPr="000131A9" w:rsidRDefault="000131A9" w:rsidP="000131A9">
      <w:pPr>
        <w:autoSpaceDE w:val="0"/>
        <w:autoSpaceDN w:val="0"/>
        <w:adjustRightInd w:val="0"/>
        <w:spacing w:after="0" w:line="360" w:lineRule="auto"/>
        <w:jc w:val="both"/>
        <w:rPr>
          <w:rFonts w:ascii="Times New Roman" w:eastAsia="TimesNewRomanPSMT" w:hAnsi="Times New Roman" w:cs="Times New Roman"/>
          <w:sz w:val="24"/>
          <w:szCs w:val="24"/>
        </w:rPr>
      </w:pPr>
      <w:r w:rsidRPr="000131A9">
        <w:rPr>
          <w:rFonts w:ascii="Times New Roman" w:eastAsia="TimesNewRomanPSMT" w:hAnsi="Times New Roman" w:cs="Times New Roman"/>
          <w:sz w:val="24"/>
          <w:szCs w:val="24"/>
        </w:rPr>
        <w:t xml:space="preserve">One economic perspective on sustainability, referred to as </w:t>
      </w:r>
      <w:r w:rsidRPr="000131A9">
        <w:rPr>
          <w:rFonts w:ascii="Times New Roman" w:eastAsia="TimesNewRomanPSMT" w:hAnsi="Times New Roman" w:cs="Times New Roman"/>
          <w:b/>
          <w:bCs/>
          <w:sz w:val="24"/>
          <w:szCs w:val="24"/>
        </w:rPr>
        <w:t>weak sustainability</w:t>
      </w:r>
      <w:r w:rsidRPr="000131A9">
        <w:rPr>
          <w:rFonts w:ascii="Times New Roman" w:eastAsia="TimesNewRomanPSMT" w:hAnsi="Times New Roman" w:cs="Times New Roman"/>
          <w:sz w:val="24"/>
          <w:szCs w:val="24"/>
        </w:rPr>
        <w:t>, assumes that natural capital and other types of capital (produced, human, or social) are substitutes. Thus, weak sustainability asserts that natural capital depreciation is justified as long as it is compensated for with adequate increases in other types of capital. So, for example, the destruction of a wetland in order to construct a new highway would be justified if the economic benefits of the highway exceeded the lost ecological value of the wetland.</w:t>
      </w:r>
      <w:r w:rsidR="00163E3B">
        <w:rPr>
          <w:rFonts w:ascii="Times New Roman" w:eastAsia="TimesNewRomanPSMT" w:hAnsi="Times New Roman" w:cs="Times New Roman"/>
          <w:sz w:val="24"/>
          <w:szCs w:val="24"/>
        </w:rPr>
        <w:t xml:space="preserve"> On the other hand </w:t>
      </w:r>
      <w:r w:rsidRPr="000131A9">
        <w:rPr>
          <w:rFonts w:ascii="Times New Roman" w:eastAsia="TimesNewRomanPSMT" w:hAnsi="Times New Roman" w:cs="Times New Roman"/>
          <w:b/>
          <w:bCs/>
          <w:sz w:val="24"/>
          <w:szCs w:val="24"/>
        </w:rPr>
        <w:t xml:space="preserve">Strong sustainability </w:t>
      </w:r>
      <w:r w:rsidR="00163E3B">
        <w:rPr>
          <w:rFonts w:ascii="Times New Roman" w:eastAsia="TimesNewRomanPSMT" w:hAnsi="Times New Roman" w:cs="Times New Roman"/>
          <w:sz w:val="24"/>
          <w:szCs w:val="24"/>
        </w:rPr>
        <w:t xml:space="preserve">is </w:t>
      </w:r>
      <w:r w:rsidR="00163E3B" w:rsidRPr="000131A9">
        <w:rPr>
          <w:rFonts w:ascii="Times New Roman" w:eastAsia="TimesNewRomanPSMT" w:hAnsi="Times New Roman" w:cs="Times New Roman"/>
          <w:sz w:val="24"/>
          <w:szCs w:val="24"/>
        </w:rPr>
        <w:t>defined</w:t>
      </w:r>
      <w:r w:rsidRPr="000131A9">
        <w:rPr>
          <w:rFonts w:ascii="Times New Roman" w:eastAsia="TimesNewRomanPSMT" w:hAnsi="Times New Roman" w:cs="Times New Roman"/>
          <w:sz w:val="24"/>
          <w:szCs w:val="24"/>
        </w:rPr>
        <w:t xml:space="preserve"> solely in terms of natural capital. </w:t>
      </w:r>
      <w:r w:rsidR="00163E3B">
        <w:rPr>
          <w:rFonts w:ascii="Times New Roman" w:eastAsia="TimesNewRomanPSMT" w:hAnsi="Times New Roman" w:cs="Times New Roman"/>
          <w:sz w:val="24"/>
          <w:szCs w:val="24"/>
        </w:rPr>
        <w:t xml:space="preserve">According </w:t>
      </w:r>
      <w:proofErr w:type="spellStart"/>
      <w:r w:rsidR="00163E3B">
        <w:rPr>
          <w:rFonts w:ascii="Times New Roman" w:eastAsia="TimesNewRomanPSMT" w:hAnsi="Times New Roman" w:cs="Times New Roman"/>
          <w:sz w:val="24"/>
          <w:szCs w:val="24"/>
        </w:rPr>
        <w:t>toe</w:t>
      </w:r>
      <w:proofErr w:type="spellEnd"/>
      <w:r w:rsidR="00163E3B">
        <w:rPr>
          <w:rFonts w:ascii="Times New Roman" w:eastAsia="TimesNewRomanPSMT" w:hAnsi="Times New Roman" w:cs="Times New Roman"/>
          <w:sz w:val="24"/>
          <w:szCs w:val="24"/>
        </w:rPr>
        <w:t xml:space="preserve"> </w:t>
      </w:r>
      <w:r w:rsidRPr="000131A9">
        <w:rPr>
          <w:rFonts w:ascii="Times New Roman" w:eastAsia="TimesNewRomanPSMT" w:hAnsi="Times New Roman" w:cs="Times New Roman"/>
          <w:sz w:val="24"/>
          <w:szCs w:val="24"/>
        </w:rPr>
        <w:t>strong sustainability, natural and other types of capital are not substitutes</w:t>
      </w:r>
      <w:r w:rsidR="00163E3B">
        <w:rPr>
          <w:rFonts w:ascii="Times New Roman" w:eastAsia="TimesNewRomanPSMT" w:hAnsi="Times New Roman" w:cs="Times New Roman"/>
          <w:sz w:val="24"/>
          <w:szCs w:val="24"/>
        </w:rPr>
        <w:t xml:space="preserve"> to each other</w:t>
      </w:r>
      <w:r w:rsidRPr="000131A9">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0131A9">
        <w:rPr>
          <w:rFonts w:ascii="Times New Roman" w:eastAsia="TimesNewRomanPSMT" w:hAnsi="Times New Roman" w:cs="Times New Roman"/>
          <w:sz w:val="24"/>
          <w:szCs w:val="24"/>
        </w:rPr>
        <w:t xml:space="preserve">Strong sustainability doesn’t mean that natural capital can never be degraded, but it requires that any degradation of a particular type of natural capital (such as the cutting of a forest for </w:t>
      </w:r>
      <w:r w:rsidRPr="000131A9">
        <w:rPr>
          <w:rFonts w:ascii="Times New Roman" w:eastAsia="TimesNewRomanPSMT" w:hAnsi="Times New Roman" w:cs="Times New Roman"/>
          <w:sz w:val="24"/>
          <w:szCs w:val="24"/>
        </w:rPr>
        <w:lastRenderedPageBreak/>
        <w:t xml:space="preserve">timber) be compensated for with </w:t>
      </w:r>
      <w:r w:rsidR="00163E3B" w:rsidRPr="00163E3B">
        <w:rPr>
          <w:rFonts w:ascii="Times New Roman" w:eastAsia="TimesNewRomanPSMT" w:hAnsi="Times New Roman" w:cs="Times New Roman"/>
          <w:sz w:val="24"/>
          <w:szCs w:val="24"/>
        </w:rPr>
        <w:t xml:space="preserve">restoration </w:t>
      </w:r>
      <w:r w:rsidR="00163E3B">
        <w:rPr>
          <w:rFonts w:ascii="Times New Roman" w:eastAsia="TimesNewRomanPSMT" w:hAnsi="Times New Roman" w:cs="Times New Roman"/>
          <w:sz w:val="24"/>
          <w:szCs w:val="24"/>
        </w:rPr>
        <w:t xml:space="preserve">of </w:t>
      </w:r>
      <w:r w:rsidRPr="000131A9">
        <w:rPr>
          <w:rFonts w:ascii="Times New Roman" w:eastAsia="TimesNewRomanPSMT" w:hAnsi="Times New Roman" w:cs="Times New Roman"/>
          <w:sz w:val="24"/>
          <w:szCs w:val="24"/>
        </w:rPr>
        <w:t>appropriate</w:t>
      </w:r>
      <w:r w:rsidR="00163E3B">
        <w:rPr>
          <w:rFonts w:ascii="Times New Roman" w:eastAsia="TimesNewRomanPSMT" w:hAnsi="Times New Roman" w:cs="Times New Roman"/>
          <w:sz w:val="24"/>
          <w:szCs w:val="24"/>
        </w:rPr>
        <w:t xml:space="preserve"> form </w:t>
      </w:r>
      <w:proofErr w:type="spellStart"/>
      <w:r w:rsidR="00163E3B">
        <w:rPr>
          <w:rFonts w:ascii="Times New Roman" w:eastAsia="TimesNewRomanPSMT" w:hAnsi="Times New Roman" w:cs="Times New Roman"/>
          <w:sz w:val="24"/>
          <w:szCs w:val="24"/>
        </w:rPr>
        <w:t>pf</w:t>
      </w:r>
      <w:proofErr w:type="spellEnd"/>
      <w:r w:rsidRPr="000131A9">
        <w:rPr>
          <w:rFonts w:ascii="Times New Roman" w:eastAsia="TimesNewRomanPSMT" w:hAnsi="Times New Roman" w:cs="Times New Roman"/>
          <w:sz w:val="24"/>
          <w:szCs w:val="24"/>
        </w:rPr>
        <w:t xml:space="preserve"> natural capital (</w:t>
      </w:r>
      <w:r w:rsidR="00163E3B">
        <w:rPr>
          <w:rFonts w:ascii="Times New Roman" w:eastAsia="TimesNewRomanPSMT" w:hAnsi="Times New Roman" w:cs="Times New Roman"/>
          <w:sz w:val="24"/>
          <w:szCs w:val="24"/>
        </w:rPr>
        <w:t>like</w:t>
      </w:r>
      <w:r w:rsidRPr="000131A9">
        <w:rPr>
          <w:rFonts w:ascii="Times New Roman" w:eastAsia="TimesNewRomanPSMT" w:hAnsi="Times New Roman" w:cs="Times New Roman"/>
          <w:sz w:val="24"/>
          <w:szCs w:val="24"/>
        </w:rPr>
        <w:t xml:space="preserve"> replanting trees or restoring a wetland).</w:t>
      </w:r>
    </w:p>
    <w:p w:rsidR="000131A9" w:rsidRDefault="00163E3B" w:rsidP="000131A9">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w:t>
      </w:r>
      <w:r w:rsidR="000131A9" w:rsidRPr="000131A9">
        <w:rPr>
          <w:rFonts w:ascii="Times New Roman" w:eastAsia="TimesNewRomanPSMT" w:hAnsi="Times New Roman" w:cs="Times New Roman"/>
          <w:sz w:val="24"/>
          <w:szCs w:val="24"/>
        </w:rPr>
        <w:t>nother perspective on sustainability considers whether the overall scale of human environmental impacts is within the carrying capacity of the</w:t>
      </w:r>
      <w:r w:rsidR="000131A9">
        <w:rPr>
          <w:rFonts w:ascii="Times New Roman" w:eastAsia="TimesNewRomanPSMT" w:hAnsi="Times New Roman" w:cs="Times New Roman"/>
          <w:sz w:val="24"/>
          <w:szCs w:val="24"/>
        </w:rPr>
        <w:t xml:space="preserve"> </w:t>
      </w:r>
      <w:r w:rsidR="000131A9" w:rsidRPr="000131A9">
        <w:rPr>
          <w:rFonts w:ascii="Times New Roman" w:eastAsia="TimesNewRomanPSMT" w:hAnsi="Times New Roman" w:cs="Times New Roman"/>
          <w:sz w:val="24"/>
          <w:szCs w:val="24"/>
        </w:rPr>
        <w:t xml:space="preserve">planet. This approach measures the human </w:t>
      </w:r>
      <w:r w:rsidR="000131A9" w:rsidRPr="000131A9">
        <w:rPr>
          <w:rFonts w:ascii="Times New Roman" w:eastAsia="TimesNewRomanPSMT" w:hAnsi="Times New Roman" w:cs="Times New Roman"/>
          <w:b/>
          <w:bCs/>
          <w:sz w:val="24"/>
          <w:szCs w:val="24"/>
        </w:rPr>
        <w:t>ecological footprint</w:t>
      </w:r>
      <w:r w:rsidR="000131A9" w:rsidRPr="000131A9">
        <w:rPr>
          <w:rFonts w:ascii="Times New Roman" w:eastAsia="TimesNewRomanPSMT" w:hAnsi="Times New Roman" w:cs="Times New Roman"/>
          <w:sz w:val="24"/>
          <w:szCs w:val="24"/>
        </w:rPr>
        <w:t>, which estimates the amount of biologically productive land that is required, both to supply the natural resources a society uses and to assimilate the waste and pollution that results from economic activity.</w:t>
      </w:r>
    </w:p>
    <w:p w:rsidR="004E614C" w:rsidRDefault="004E614C" w:rsidP="000131A9">
      <w:pPr>
        <w:autoSpaceDE w:val="0"/>
        <w:autoSpaceDN w:val="0"/>
        <w:adjustRightInd w:val="0"/>
        <w:spacing w:after="0" w:line="360" w:lineRule="auto"/>
        <w:jc w:val="both"/>
        <w:rPr>
          <w:rFonts w:ascii="Times New Roman" w:eastAsia="TimesNewRomanPSMT" w:hAnsi="Times New Roman" w:cs="Times New Roman"/>
          <w:sz w:val="24"/>
          <w:szCs w:val="24"/>
        </w:rPr>
      </w:pPr>
    </w:p>
    <w:p w:rsidR="004E614C" w:rsidRDefault="00C74A33" w:rsidP="004E614C">
      <w:pPr>
        <w:rPr>
          <w:rFonts w:ascii="Times New Roman" w:hAnsi="Times New Roman" w:cs="Times New Roman"/>
          <w:b/>
          <w:sz w:val="24"/>
          <w:szCs w:val="24"/>
        </w:rPr>
      </w:pPr>
      <w:proofErr w:type="gramStart"/>
      <w:r>
        <w:rPr>
          <w:rFonts w:ascii="Times New Roman" w:hAnsi="Times New Roman" w:cs="Times New Roman"/>
          <w:b/>
          <w:sz w:val="24"/>
          <w:szCs w:val="24"/>
        </w:rPr>
        <w:t xml:space="preserve">4.2 </w:t>
      </w:r>
      <w:r w:rsidR="004E614C" w:rsidRPr="00CC5E7D">
        <w:rPr>
          <w:rFonts w:ascii="Times New Roman" w:hAnsi="Times New Roman" w:cs="Times New Roman"/>
          <w:b/>
          <w:sz w:val="24"/>
          <w:szCs w:val="24"/>
        </w:rPr>
        <w:t xml:space="preserve"> THE</w:t>
      </w:r>
      <w:proofErr w:type="gramEnd"/>
      <w:r w:rsidR="004E614C" w:rsidRPr="00CC5E7D">
        <w:rPr>
          <w:rFonts w:ascii="Times New Roman" w:hAnsi="Times New Roman" w:cs="Times New Roman"/>
          <w:b/>
          <w:sz w:val="24"/>
          <w:szCs w:val="24"/>
        </w:rPr>
        <w:t xml:space="preserve"> ENVIRONMENTAL KUZNETS CURVE</w:t>
      </w:r>
    </w:p>
    <w:p w:rsidR="00163E3B" w:rsidRDefault="00163E3B" w:rsidP="00C74A33">
      <w:pPr>
        <w:spacing w:line="360" w:lineRule="auto"/>
        <w:jc w:val="both"/>
        <w:rPr>
          <w:rFonts w:ascii="Times New Roman" w:hAnsi="Times New Roman" w:cs="Times New Roman"/>
          <w:sz w:val="24"/>
          <w:szCs w:val="24"/>
        </w:rPr>
      </w:pPr>
      <w:r w:rsidRPr="00163E3B">
        <w:rPr>
          <w:rFonts w:ascii="Times New Roman" w:hAnsi="Times New Roman" w:cs="Times New Roman"/>
          <w:sz w:val="24"/>
          <w:szCs w:val="24"/>
        </w:rPr>
        <w:t>Economic growth implies increased per capita availability of goods and services. Sustained economic growth requires the use of increasing quantities of environmental goods and services, which is affected by the size of the population and a host of other factor including per capita income. The nature of relation between the quality of environment and economic growth could be explained in terms of several paradigms including the EKC hypothesis.</w:t>
      </w:r>
    </w:p>
    <w:p w:rsidR="004E614C" w:rsidRPr="00EF51EB" w:rsidRDefault="004E614C" w:rsidP="00C74A33">
      <w:pPr>
        <w:spacing w:line="360" w:lineRule="auto"/>
        <w:jc w:val="both"/>
        <w:rPr>
          <w:rFonts w:ascii="Times New Roman" w:hAnsi="Times New Roman" w:cs="Times New Roman"/>
          <w:b/>
          <w:sz w:val="24"/>
          <w:szCs w:val="24"/>
        </w:rPr>
      </w:pPr>
      <w:r w:rsidRPr="00EF51EB">
        <w:rPr>
          <w:rFonts w:ascii="Times New Roman" w:hAnsi="Times New Roman" w:cs="Times New Roman"/>
          <w:sz w:val="24"/>
          <w:szCs w:val="24"/>
        </w:rPr>
        <w:t xml:space="preserve">The relationship between GDP and the environment is rarely monotonic. Sometimes a country’s growth is first bad for the environment and later good. The reason is the three conflicting forces. On the one hand, when GDP increases, the greater scale of production leads directly to more pollution and other environmental degradation. On the other hand, there tends to be </w:t>
      </w:r>
      <w:proofErr w:type="spellStart"/>
      <w:r w:rsidRPr="00EF51EB">
        <w:rPr>
          <w:rFonts w:ascii="Times New Roman" w:hAnsi="Times New Roman" w:cs="Times New Roman"/>
          <w:sz w:val="24"/>
          <w:szCs w:val="24"/>
        </w:rPr>
        <w:t>favorable</w:t>
      </w:r>
      <w:proofErr w:type="spellEnd"/>
      <w:r w:rsidRPr="00EF51EB">
        <w:rPr>
          <w:rFonts w:ascii="Times New Roman" w:hAnsi="Times New Roman" w:cs="Times New Roman"/>
          <w:sz w:val="24"/>
          <w:szCs w:val="24"/>
        </w:rPr>
        <w:t xml:space="preserve"> shifts in the composition of output and in the technologies of production.</w:t>
      </w:r>
    </w:p>
    <w:p w:rsidR="004E614C" w:rsidRPr="00EF51EB" w:rsidRDefault="004E614C" w:rsidP="00C74A33">
      <w:pPr>
        <w:spacing w:line="360" w:lineRule="auto"/>
        <w:jc w:val="both"/>
        <w:rPr>
          <w:rFonts w:ascii="Times New Roman" w:hAnsi="Times New Roman" w:cs="Times New Roman"/>
          <w:sz w:val="24"/>
          <w:szCs w:val="24"/>
        </w:rPr>
      </w:pPr>
      <w:r w:rsidRPr="00EF51EB">
        <w:rPr>
          <w:rFonts w:ascii="Times New Roman" w:hAnsi="Times New Roman" w:cs="Times New Roman"/>
          <w:sz w:val="24"/>
          <w:szCs w:val="24"/>
        </w:rPr>
        <w:t xml:space="preserve">A look at data across countries </w:t>
      </w:r>
      <w:r w:rsidR="00163E3B">
        <w:rPr>
          <w:rFonts w:ascii="Times New Roman" w:hAnsi="Times New Roman" w:cs="Times New Roman"/>
          <w:sz w:val="24"/>
          <w:szCs w:val="24"/>
        </w:rPr>
        <w:t>over</w:t>
      </w:r>
      <w:r w:rsidRPr="00EF51EB">
        <w:rPr>
          <w:rFonts w:ascii="Times New Roman" w:hAnsi="Times New Roman" w:cs="Times New Roman"/>
          <w:sz w:val="24"/>
          <w:szCs w:val="24"/>
        </w:rPr>
        <w:t xml:space="preserve"> time allows out </w:t>
      </w:r>
      <w:proofErr w:type="gramStart"/>
      <w:r w:rsidRPr="00EF51EB">
        <w:rPr>
          <w:rFonts w:ascii="Times New Roman" w:hAnsi="Times New Roman" w:cs="Times New Roman"/>
          <w:sz w:val="24"/>
          <w:szCs w:val="24"/>
        </w:rPr>
        <w:t>to throw</w:t>
      </w:r>
      <w:proofErr w:type="gramEnd"/>
      <w:r w:rsidRPr="00EF51EB">
        <w:rPr>
          <w:rFonts w:ascii="Times New Roman" w:hAnsi="Times New Roman" w:cs="Times New Roman"/>
          <w:sz w:val="24"/>
          <w:szCs w:val="24"/>
        </w:rPr>
        <w:t xml:space="preserve"> light on this. For some important environmental measures, a U-shaped relationship appears. At relatively low levels of income per capita growth leads to greater environmental damage, until it levels off at an intermediate level of income, after which further growth leads to improvements in the environment. This empirical relationship is known as the Environmental Kuznets Curve. The World Bank (1992) and Grossman and Krueger (1993</w:t>
      </w:r>
      <w:proofErr w:type="gramStart"/>
      <w:r w:rsidRPr="00EF51EB">
        <w:rPr>
          <w:rFonts w:ascii="Times New Roman" w:hAnsi="Times New Roman" w:cs="Times New Roman"/>
          <w:sz w:val="24"/>
          <w:szCs w:val="24"/>
        </w:rPr>
        <w:t>,95</w:t>
      </w:r>
      <w:proofErr w:type="gramEnd"/>
      <w:r w:rsidRPr="00EF51EB">
        <w:rPr>
          <w:rFonts w:ascii="Times New Roman" w:hAnsi="Times New Roman" w:cs="Times New Roman"/>
          <w:sz w:val="24"/>
          <w:szCs w:val="24"/>
        </w:rPr>
        <w:t>) brought to public attention this statistical finding for a cross section of countries.</w:t>
      </w:r>
    </w:p>
    <w:p w:rsidR="004E614C" w:rsidRPr="00EF51EB" w:rsidRDefault="004E614C" w:rsidP="00C74A33">
      <w:pPr>
        <w:spacing w:line="360" w:lineRule="auto"/>
        <w:jc w:val="both"/>
        <w:rPr>
          <w:rFonts w:ascii="Times New Roman" w:hAnsi="Times New Roman" w:cs="Times New Roman"/>
          <w:sz w:val="24"/>
          <w:szCs w:val="24"/>
        </w:rPr>
      </w:pPr>
      <w:r w:rsidRPr="00EF51EB">
        <w:rPr>
          <w:rFonts w:ascii="Times New Roman" w:hAnsi="Times New Roman" w:cs="Times New Roman"/>
          <w:sz w:val="24"/>
          <w:szCs w:val="24"/>
        </w:rPr>
        <w:t xml:space="preserve">The idea behind the environmental </w:t>
      </w:r>
      <w:proofErr w:type="spellStart"/>
      <w:r w:rsidRPr="00EF51EB">
        <w:rPr>
          <w:rFonts w:ascii="Times New Roman" w:hAnsi="Times New Roman" w:cs="Times New Roman"/>
          <w:sz w:val="24"/>
          <w:szCs w:val="24"/>
        </w:rPr>
        <w:t>Kuznet</w:t>
      </w:r>
      <w:proofErr w:type="spellEnd"/>
      <w:r w:rsidRPr="00EF51EB">
        <w:rPr>
          <w:rFonts w:ascii="Times New Roman" w:hAnsi="Times New Roman" w:cs="Times New Roman"/>
          <w:sz w:val="24"/>
          <w:szCs w:val="24"/>
        </w:rPr>
        <w:t xml:space="preserve"> Curve is that growth is bad for air and water pollution at the initial stages of industrialization, but later on reduces pollution, as countries become rich enough to pay to clear up the environments. The dominant theoretical explanation is that production technology makes some pollution inevitable, but that demand for environmental quality rises with income. The standard rationale is thus that, at higher </w:t>
      </w:r>
      <w:r w:rsidRPr="00EF51EB">
        <w:rPr>
          <w:rFonts w:ascii="Times New Roman" w:hAnsi="Times New Roman" w:cs="Times New Roman"/>
          <w:sz w:val="24"/>
          <w:szCs w:val="24"/>
        </w:rPr>
        <w:lastRenderedPageBreak/>
        <w:t>levels of income per capita, growth raises the public’s demand for environment quality, which can translate into environmental regulation. Environmental regulation, if effective, then translates into a cleaner environment.</w:t>
      </w:r>
    </w:p>
    <w:p w:rsidR="004E614C" w:rsidRPr="00EF51EB" w:rsidRDefault="004E614C" w:rsidP="00C74A33">
      <w:pPr>
        <w:spacing w:line="360" w:lineRule="auto"/>
        <w:jc w:val="both"/>
        <w:rPr>
          <w:rFonts w:ascii="Times New Roman" w:hAnsi="Times New Roman" w:cs="Times New Roman"/>
          <w:sz w:val="24"/>
          <w:szCs w:val="24"/>
        </w:rPr>
      </w:pPr>
      <w:r w:rsidRPr="00EF51EB">
        <w:rPr>
          <w:rFonts w:ascii="Times New Roman" w:hAnsi="Times New Roman" w:cs="Times New Roman"/>
          <w:sz w:val="24"/>
          <w:szCs w:val="24"/>
        </w:rPr>
        <w:t xml:space="preserve">Empirical researchers are far from agreement that the environmental </w:t>
      </w:r>
      <w:proofErr w:type="spellStart"/>
      <w:r w:rsidRPr="00EF51EB">
        <w:rPr>
          <w:rFonts w:ascii="Times New Roman" w:hAnsi="Times New Roman" w:cs="Times New Roman"/>
          <w:sz w:val="24"/>
          <w:szCs w:val="24"/>
        </w:rPr>
        <w:t>Kuznet</w:t>
      </w:r>
      <w:proofErr w:type="spellEnd"/>
      <w:r w:rsidRPr="00EF51EB">
        <w:rPr>
          <w:rFonts w:ascii="Times New Roman" w:hAnsi="Times New Roman" w:cs="Times New Roman"/>
          <w:sz w:val="24"/>
          <w:szCs w:val="24"/>
        </w:rPr>
        <w:t xml:space="preserve"> curve provides a good fit for the available data, even for conventional </w:t>
      </w:r>
      <w:proofErr w:type="spellStart"/>
      <w:r w:rsidRPr="00EF51EB">
        <w:rPr>
          <w:rFonts w:ascii="Times New Roman" w:hAnsi="Times New Roman" w:cs="Times New Roman"/>
          <w:sz w:val="24"/>
          <w:szCs w:val="24"/>
        </w:rPr>
        <w:t>pollutants.Stern</w:t>
      </w:r>
      <w:proofErr w:type="spellEnd"/>
      <w:r w:rsidRPr="00EF51EB">
        <w:rPr>
          <w:rFonts w:ascii="Times New Roman" w:hAnsi="Times New Roman" w:cs="Times New Roman"/>
          <w:sz w:val="24"/>
          <w:szCs w:val="24"/>
        </w:rPr>
        <w:t xml:space="preserve"> (1998) argues that the evidence for the inverted-U relationship applies only to a subset of environmental measures; for example, air pollutants such as suspended particulates and SO</w:t>
      </w:r>
      <w:r w:rsidRPr="00EF51EB">
        <w:rPr>
          <w:rFonts w:ascii="Times New Roman" w:hAnsi="Times New Roman" w:cs="Times New Roman"/>
          <w:sz w:val="24"/>
          <w:szCs w:val="24"/>
          <w:vertAlign w:val="subscript"/>
        </w:rPr>
        <w:t>2</w:t>
      </w:r>
      <w:r w:rsidRPr="00EF51EB">
        <w:rPr>
          <w:rFonts w:ascii="Times New Roman" w:hAnsi="Times New Roman" w:cs="Times New Roman"/>
          <w:sz w:val="24"/>
          <w:szCs w:val="24"/>
        </w:rPr>
        <w:t>.</w:t>
      </w:r>
    </w:p>
    <w:p w:rsidR="004E614C" w:rsidRDefault="004E614C" w:rsidP="00C74A33">
      <w:pPr>
        <w:spacing w:line="360" w:lineRule="auto"/>
        <w:jc w:val="both"/>
        <w:rPr>
          <w:rFonts w:ascii="Times New Roman" w:hAnsi="Times New Roman" w:cs="Times New Roman"/>
          <w:sz w:val="24"/>
          <w:szCs w:val="24"/>
        </w:rPr>
      </w:pPr>
      <w:r w:rsidRPr="00EF51EB">
        <w:rPr>
          <w:rFonts w:ascii="Times New Roman" w:hAnsi="Times New Roman" w:cs="Times New Roman"/>
          <w:sz w:val="24"/>
          <w:szCs w:val="24"/>
        </w:rPr>
        <w:t xml:space="preserve">The EKC hypothesis proposes that there is an inverted U-shaped relation between quality of environment, as measured by some of the indicators of environmental degradation and per capita income </w:t>
      </w:r>
      <w:r w:rsidR="00FE199F">
        <w:rPr>
          <w:rFonts w:ascii="Times New Roman" w:hAnsi="Times New Roman" w:cs="Times New Roman"/>
          <w:b/>
          <w:sz w:val="24"/>
          <w:szCs w:val="24"/>
        </w:rPr>
        <w:t xml:space="preserve">(Fig </w:t>
      </w:r>
      <w:r w:rsidRPr="00EF51EB">
        <w:rPr>
          <w:rFonts w:ascii="Times New Roman" w:hAnsi="Times New Roman" w:cs="Times New Roman"/>
          <w:b/>
          <w:sz w:val="24"/>
          <w:szCs w:val="24"/>
        </w:rPr>
        <w:t>1</w:t>
      </w:r>
      <w:r w:rsidRPr="00EF51EB">
        <w:rPr>
          <w:rFonts w:ascii="Times New Roman" w:hAnsi="Times New Roman" w:cs="Times New Roman"/>
          <w:sz w:val="24"/>
          <w:szCs w:val="24"/>
        </w:rPr>
        <w:t>). This means that environmental degradation is low initially when the per capita income is low, then it increases with growing per capita income and eventually it declines with further increase in per capita income.</w:t>
      </w:r>
    </w:p>
    <w:p w:rsidR="00FE199F" w:rsidRPr="00FE199F" w:rsidRDefault="00FE199F" w:rsidP="00C74A33">
      <w:pPr>
        <w:spacing w:line="360" w:lineRule="auto"/>
        <w:jc w:val="both"/>
        <w:rPr>
          <w:rFonts w:ascii="Times New Roman" w:hAnsi="Times New Roman" w:cs="Times New Roman"/>
          <w:b/>
          <w:sz w:val="24"/>
          <w:szCs w:val="24"/>
        </w:rPr>
      </w:pPr>
      <w:r w:rsidRPr="00FE199F">
        <w:rPr>
          <w:rFonts w:ascii="Times New Roman" w:hAnsi="Times New Roman" w:cs="Times New Roman"/>
          <w:b/>
          <w:sz w:val="24"/>
          <w:szCs w:val="24"/>
        </w:rPr>
        <w:t xml:space="preserve">Fig.1 Environmental Kuznets </w:t>
      </w:r>
      <w:proofErr w:type="spellStart"/>
      <w:r w:rsidRPr="00FE199F">
        <w:rPr>
          <w:rFonts w:ascii="Times New Roman" w:hAnsi="Times New Roman" w:cs="Times New Roman"/>
          <w:b/>
          <w:sz w:val="24"/>
          <w:szCs w:val="24"/>
        </w:rPr>
        <w:t>Currve</w:t>
      </w:r>
      <w:proofErr w:type="spellEnd"/>
    </w:p>
    <w:p w:rsidR="004E614C" w:rsidRPr="00EF51EB" w:rsidRDefault="00FE199F" w:rsidP="00C74A33">
      <w:pPr>
        <w:spacing w:line="360" w:lineRule="auto"/>
        <w:ind w:left="2160"/>
        <w:jc w:val="both"/>
        <w:rPr>
          <w:rFonts w:ascii="Times New Roman" w:hAnsi="Times New Roman" w:cs="Times New Roman"/>
          <w:b/>
          <w:sz w:val="24"/>
          <w:szCs w:val="24"/>
        </w:rPr>
      </w:pPr>
      <w:r>
        <w:rPr>
          <w:noProof/>
        </w:rPr>
        <w:drawing>
          <wp:inline distT="0" distB="0" distL="0" distR="0">
            <wp:extent cx="3655060" cy="2210036"/>
            <wp:effectExtent l="19050" t="0" r="2540" b="0"/>
            <wp:docPr id="3" name="Picture 4" descr="Environmental Kuznet Curve | Verdinand Robertua'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vironmental Kuznet Curve | Verdinand Robertua's Blog"/>
                    <pic:cNvPicPr>
                      <a:picLocks noChangeAspect="1" noChangeArrowheads="1"/>
                    </pic:cNvPicPr>
                  </pic:nvPicPr>
                  <pic:blipFill>
                    <a:blip r:embed="rId5"/>
                    <a:srcRect/>
                    <a:stretch>
                      <a:fillRect/>
                    </a:stretch>
                  </pic:blipFill>
                  <pic:spPr bwMode="auto">
                    <a:xfrm>
                      <a:off x="0" y="0"/>
                      <a:ext cx="3655060" cy="2210036"/>
                    </a:xfrm>
                    <a:prstGeom prst="rect">
                      <a:avLst/>
                    </a:prstGeom>
                    <a:noFill/>
                    <a:ln w="9525">
                      <a:noFill/>
                      <a:miter lim="800000"/>
                      <a:headEnd/>
                      <a:tailEnd/>
                    </a:ln>
                  </pic:spPr>
                </pic:pic>
              </a:graphicData>
            </a:graphic>
          </wp:inline>
        </w:drawing>
      </w:r>
      <w:r w:rsidR="004E614C" w:rsidRPr="00EF51EB">
        <w:rPr>
          <w:rFonts w:ascii="Times New Roman" w:hAnsi="Times New Roman" w:cs="Times New Roman"/>
          <w:b/>
          <w:sz w:val="24"/>
          <w:szCs w:val="24"/>
        </w:rPr>
        <w:t xml:space="preserve">            </w:t>
      </w:r>
    </w:p>
    <w:p w:rsidR="004E614C" w:rsidRPr="00EF51EB" w:rsidRDefault="004E614C" w:rsidP="00C74A33">
      <w:pPr>
        <w:spacing w:line="360" w:lineRule="auto"/>
        <w:jc w:val="both"/>
        <w:rPr>
          <w:rFonts w:ascii="Times New Roman" w:hAnsi="Times New Roman" w:cs="Times New Roman"/>
          <w:sz w:val="24"/>
          <w:szCs w:val="24"/>
        </w:rPr>
      </w:pPr>
      <w:r w:rsidRPr="00EF51EB">
        <w:rPr>
          <w:rFonts w:ascii="Times New Roman" w:hAnsi="Times New Roman" w:cs="Times New Roman"/>
          <w:sz w:val="24"/>
          <w:szCs w:val="24"/>
        </w:rPr>
        <w:t xml:space="preserve">The hypothesis has been criticized by many scholars on both theoretical and empirical grounds. But overall, the general consensus is that it holds for some but not all environmental indicators and that economic growth alone cannot solve all environmental problems. The best fit is for air pollution and a few indicators of water pollution, as articulated by Edward B. </w:t>
      </w:r>
      <w:proofErr w:type="spellStart"/>
      <w:r w:rsidRPr="00EF51EB">
        <w:rPr>
          <w:rFonts w:ascii="Times New Roman" w:hAnsi="Times New Roman" w:cs="Times New Roman"/>
          <w:sz w:val="24"/>
          <w:szCs w:val="24"/>
        </w:rPr>
        <w:t>Barbier</w:t>
      </w:r>
      <w:proofErr w:type="spellEnd"/>
      <w:r w:rsidRPr="00EF51EB">
        <w:rPr>
          <w:rFonts w:ascii="Times New Roman" w:hAnsi="Times New Roman" w:cs="Times New Roman"/>
          <w:sz w:val="24"/>
          <w:szCs w:val="24"/>
        </w:rPr>
        <w:t xml:space="preserve"> (1997).</w:t>
      </w:r>
    </w:p>
    <w:p w:rsidR="004E614C" w:rsidRPr="00EF51EB" w:rsidRDefault="004E614C" w:rsidP="00C74A33">
      <w:pPr>
        <w:spacing w:line="360" w:lineRule="auto"/>
        <w:jc w:val="both"/>
        <w:rPr>
          <w:rStyle w:val="SubtleEmphasis"/>
          <w:rFonts w:ascii="Times New Roman" w:hAnsi="Times New Roman" w:cs="Times New Roman"/>
          <w:i w:val="0"/>
          <w:color w:val="auto"/>
          <w:sz w:val="24"/>
          <w:szCs w:val="24"/>
        </w:rPr>
      </w:pPr>
      <w:r w:rsidRPr="00EF51EB">
        <w:rPr>
          <w:rStyle w:val="SubtleEmphasis"/>
          <w:rFonts w:ascii="Times New Roman" w:hAnsi="Times New Roman" w:cs="Times New Roman"/>
          <w:color w:val="auto"/>
          <w:sz w:val="24"/>
          <w:szCs w:val="24"/>
        </w:rPr>
        <w:t>The EKC hypothesis states that as per capita incomes grow, environmental impacts rise, hit a maximum and then decline. This implies an ‘inve</w:t>
      </w:r>
      <w:r w:rsidR="00163E3B">
        <w:rPr>
          <w:rStyle w:val="SubtleEmphasis"/>
          <w:rFonts w:ascii="Times New Roman" w:hAnsi="Times New Roman" w:cs="Times New Roman"/>
          <w:color w:val="auto"/>
          <w:sz w:val="24"/>
          <w:szCs w:val="24"/>
        </w:rPr>
        <w:t>rted—U’ shape, as shown in Fig</w:t>
      </w:r>
      <w:r w:rsidRPr="00EF51EB">
        <w:rPr>
          <w:rStyle w:val="SubtleEmphasis"/>
          <w:rFonts w:ascii="Times New Roman" w:hAnsi="Times New Roman" w:cs="Times New Roman"/>
          <w:color w:val="auto"/>
          <w:sz w:val="24"/>
          <w:szCs w:val="24"/>
        </w:rPr>
        <w:t>1.</w:t>
      </w:r>
    </w:p>
    <w:p w:rsidR="004E614C" w:rsidRPr="00EF51EB" w:rsidRDefault="004E614C" w:rsidP="00C74A33">
      <w:pPr>
        <w:spacing w:line="360" w:lineRule="auto"/>
        <w:jc w:val="both"/>
        <w:rPr>
          <w:rStyle w:val="SubtleEmphasis"/>
          <w:rFonts w:ascii="Times New Roman" w:hAnsi="Times New Roman" w:cs="Times New Roman"/>
          <w:i w:val="0"/>
          <w:color w:val="auto"/>
          <w:sz w:val="24"/>
          <w:szCs w:val="24"/>
        </w:rPr>
      </w:pPr>
      <w:r w:rsidRPr="00EF51EB">
        <w:rPr>
          <w:rStyle w:val="SubtleEmphasis"/>
          <w:rFonts w:ascii="Times New Roman" w:hAnsi="Times New Roman" w:cs="Times New Roman"/>
          <w:color w:val="auto"/>
          <w:sz w:val="24"/>
          <w:szCs w:val="24"/>
        </w:rPr>
        <w:lastRenderedPageBreak/>
        <w:t xml:space="preserve">Two parts </w:t>
      </w:r>
      <w:r w:rsidR="00163E3B">
        <w:rPr>
          <w:rStyle w:val="SubtleEmphasis"/>
          <w:rFonts w:ascii="Times New Roman" w:hAnsi="Times New Roman" w:cs="Times New Roman"/>
          <w:color w:val="auto"/>
          <w:sz w:val="24"/>
          <w:szCs w:val="24"/>
        </w:rPr>
        <w:t>of the curve can be identified – rising and falling. E</w:t>
      </w:r>
      <w:r w:rsidRPr="00EF51EB">
        <w:rPr>
          <w:rStyle w:val="SubtleEmphasis"/>
          <w:rFonts w:ascii="Times New Roman" w:hAnsi="Times New Roman" w:cs="Times New Roman"/>
          <w:color w:val="auto"/>
          <w:sz w:val="24"/>
          <w:szCs w:val="24"/>
        </w:rPr>
        <w:t>missions fall and environment quality rises. Why?</w:t>
      </w:r>
    </w:p>
    <w:p w:rsidR="004E614C" w:rsidRPr="00EF51EB" w:rsidRDefault="004E614C" w:rsidP="00C74A33">
      <w:pPr>
        <w:pStyle w:val="ListParagraph"/>
        <w:numPr>
          <w:ilvl w:val="0"/>
          <w:numId w:val="11"/>
        </w:numPr>
        <w:spacing w:line="360" w:lineRule="auto"/>
        <w:jc w:val="both"/>
        <w:rPr>
          <w:rStyle w:val="SubtleEmphasis"/>
          <w:rFonts w:ascii="Times New Roman" w:hAnsi="Times New Roman" w:cs="Times New Roman"/>
          <w:i w:val="0"/>
          <w:color w:val="auto"/>
          <w:sz w:val="24"/>
          <w:szCs w:val="24"/>
        </w:rPr>
      </w:pPr>
      <w:r w:rsidRPr="00EF51EB">
        <w:rPr>
          <w:rStyle w:val="SubtleEmphasis"/>
          <w:rFonts w:ascii="Times New Roman" w:hAnsi="Times New Roman" w:cs="Times New Roman"/>
          <w:color w:val="auto"/>
          <w:sz w:val="24"/>
          <w:szCs w:val="24"/>
        </w:rPr>
        <w:t>There is an increasing demand for environmental quality as incomes go up. This lead to an increase in government protection of the environment and increasing green consumption.</w:t>
      </w:r>
    </w:p>
    <w:p w:rsidR="004E614C" w:rsidRPr="00EF51EB" w:rsidRDefault="004E614C" w:rsidP="00C74A33">
      <w:pPr>
        <w:pStyle w:val="ListParagraph"/>
        <w:numPr>
          <w:ilvl w:val="0"/>
          <w:numId w:val="11"/>
        </w:numPr>
        <w:spacing w:line="360" w:lineRule="auto"/>
        <w:jc w:val="both"/>
        <w:rPr>
          <w:rStyle w:val="SubtleEmphasis"/>
          <w:rFonts w:ascii="Times New Roman" w:hAnsi="Times New Roman" w:cs="Times New Roman"/>
          <w:i w:val="0"/>
          <w:color w:val="auto"/>
          <w:sz w:val="24"/>
          <w:szCs w:val="24"/>
        </w:rPr>
      </w:pPr>
      <w:r w:rsidRPr="00EF51EB">
        <w:rPr>
          <w:rStyle w:val="SubtleEmphasis"/>
          <w:rFonts w:ascii="Times New Roman" w:hAnsi="Times New Roman" w:cs="Times New Roman"/>
          <w:color w:val="auto"/>
          <w:sz w:val="24"/>
          <w:szCs w:val="24"/>
        </w:rPr>
        <w:t>Technical improvements over time make production permit of output cleaner.</w:t>
      </w:r>
    </w:p>
    <w:p w:rsidR="004E614C" w:rsidRPr="00EF51EB" w:rsidRDefault="004E614C" w:rsidP="00C74A33">
      <w:pPr>
        <w:pStyle w:val="ListParagraph"/>
        <w:numPr>
          <w:ilvl w:val="0"/>
          <w:numId w:val="11"/>
        </w:numPr>
        <w:spacing w:line="360" w:lineRule="auto"/>
        <w:jc w:val="both"/>
        <w:rPr>
          <w:rStyle w:val="SubtleEmphasis"/>
          <w:rFonts w:ascii="Times New Roman" w:hAnsi="Times New Roman" w:cs="Times New Roman"/>
          <w:i w:val="0"/>
          <w:color w:val="auto"/>
          <w:sz w:val="24"/>
          <w:szCs w:val="24"/>
        </w:rPr>
      </w:pPr>
      <w:r w:rsidRPr="00EF51EB">
        <w:rPr>
          <w:rStyle w:val="SubtleEmphasis"/>
          <w:rFonts w:ascii="Times New Roman" w:hAnsi="Times New Roman" w:cs="Times New Roman"/>
          <w:color w:val="auto"/>
          <w:sz w:val="24"/>
          <w:szCs w:val="24"/>
        </w:rPr>
        <w:t>Changes in the structure of the economy occur, such as moves from manufacture to service sector or high-tech industries.</w:t>
      </w:r>
    </w:p>
    <w:p w:rsidR="004E614C" w:rsidRPr="00EF51EB" w:rsidRDefault="004E614C" w:rsidP="00C74A33">
      <w:pPr>
        <w:pStyle w:val="ListParagraph"/>
        <w:numPr>
          <w:ilvl w:val="0"/>
          <w:numId w:val="11"/>
        </w:numPr>
        <w:spacing w:line="360" w:lineRule="auto"/>
        <w:jc w:val="both"/>
        <w:rPr>
          <w:rStyle w:val="SubtleEmphasis"/>
          <w:rFonts w:ascii="Times New Roman" w:hAnsi="Times New Roman" w:cs="Times New Roman"/>
          <w:i w:val="0"/>
          <w:color w:val="auto"/>
          <w:sz w:val="24"/>
          <w:szCs w:val="24"/>
        </w:rPr>
      </w:pPr>
      <w:r w:rsidRPr="00EF51EB">
        <w:rPr>
          <w:rStyle w:val="SubtleEmphasis"/>
          <w:rFonts w:ascii="Times New Roman" w:hAnsi="Times New Roman" w:cs="Times New Roman"/>
          <w:color w:val="auto"/>
          <w:sz w:val="24"/>
          <w:szCs w:val="24"/>
        </w:rPr>
        <w:t>Increasing scarcity of ‘environmental quality’ drives up its relative price, and this means “less is consumed”, and more is preserved.</w:t>
      </w:r>
    </w:p>
    <w:p w:rsidR="004E614C" w:rsidRPr="00CC5E7D" w:rsidRDefault="004E614C" w:rsidP="00C74A33">
      <w:pPr>
        <w:spacing w:line="360" w:lineRule="auto"/>
        <w:jc w:val="both"/>
        <w:rPr>
          <w:rFonts w:ascii="Times New Roman" w:hAnsi="Times New Roman" w:cs="Times New Roman"/>
          <w:b/>
          <w:sz w:val="24"/>
          <w:szCs w:val="24"/>
        </w:rPr>
      </w:pPr>
      <w:r w:rsidRPr="00CC5E7D">
        <w:rPr>
          <w:rFonts w:ascii="Times New Roman" w:hAnsi="Times New Roman" w:cs="Times New Roman"/>
          <w:b/>
          <w:sz w:val="24"/>
          <w:szCs w:val="24"/>
        </w:rPr>
        <w:t>Relevance of the EKCs in the Indian context</w:t>
      </w:r>
      <w:r w:rsidR="00C74A33">
        <w:rPr>
          <w:rFonts w:ascii="Times New Roman" w:hAnsi="Times New Roman" w:cs="Times New Roman"/>
          <w:b/>
          <w:sz w:val="24"/>
          <w:szCs w:val="24"/>
        </w:rPr>
        <w:t>:</w:t>
      </w:r>
    </w:p>
    <w:p w:rsidR="004E614C" w:rsidRPr="00CC5E7D" w:rsidRDefault="004E614C" w:rsidP="00C74A33">
      <w:pPr>
        <w:spacing w:line="360" w:lineRule="auto"/>
        <w:jc w:val="both"/>
        <w:rPr>
          <w:rFonts w:ascii="Times New Roman" w:hAnsi="Times New Roman" w:cs="Times New Roman"/>
          <w:sz w:val="24"/>
          <w:szCs w:val="24"/>
        </w:rPr>
      </w:pPr>
      <w:r w:rsidRPr="00CC5E7D">
        <w:rPr>
          <w:rFonts w:ascii="Times New Roman" w:hAnsi="Times New Roman" w:cs="Times New Roman"/>
          <w:sz w:val="24"/>
          <w:szCs w:val="24"/>
        </w:rPr>
        <w:t xml:space="preserve">In the Indian context, we could say that the EKC hypothesis holds partially in the sense that air pollution and water pollution are both increasing with moderate increase in per capita income in conjunction with growing commercialization of agriculture, urbanization and industrialization. </w:t>
      </w:r>
      <w:r w:rsidR="00C53867">
        <w:rPr>
          <w:rFonts w:ascii="Times New Roman" w:hAnsi="Times New Roman" w:cs="Times New Roman"/>
          <w:sz w:val="24"/>
          <w:szCs w:val="24"/>
        </w:rPr>
        <w:t xml:space="preserve">India has </w:t>
      </w:r>
      <w:r w:rsidRPr="00CC5E7D">
        <w:rPr>
          <w:rFonts w:ascii="Times New Roman" w:hAnsi="Times New Roman" w:cs="Times New Roman"/>
          <w:sz w:val="24"/>
          <w:szCs w:val="24"/>
        </w:rPr>
        <w:t>not yet reached a stage of economic growth when per capita income is high enough for people to adopt eco-friendly livelihood strategies. Environmental degradation in India is due partly to the abject poverty and partly to wasteful use of natural resources, particularly common pool resources (CPRs) by the rich. The poverty-driven degradation includes: (</w:t>
      </w:r>
      <w:proofErr w:type="spellStart"/>
      <w:r w:rsidRPr="00CC5E7D">
        <w:rPr>
          <w:rFonts w:ascii="Times New Roman" w:hAnsi="Times New Roman" w:cs="Times New Roman"/>
          <w:sz w:val="24"/>
          <w:szCs w:val="24"/>
        </w:rPr>
        <w:t>i</w:t>
      </w:r>
      <w:proofErr w:type="spellEnd"/>
      <w:r w:rsidRPr="00CC5E7D">
        <w:rPr>
          <w:rFonts w:ascii="Times New Roman" w:hAnsi="Times New Roman" w:cs="Times New Roman"/>
          <w:sz w:val="24"/>
          <w:szCs w:val="24"/>
        </w:rPr>
        <w:t>) indoor air pollution due to use of biomass as fuel; (ii) water pollution; and (iii) land degradation; and the degradation induced by growing affluence includes: (</w:t>
      </w:r>
      <w:proofErr w:type="spellStart"/>
      <w:r w:rsidRPr="00CC5E7D">
        <w:rPr>
          <w:rFonts w:ascii="Times New Roman" w:hAnsi="Times New Roman" w:cs="Times New Roman"/>
          <w:sz w:val="24"/>
          <w:szCs w:val="24"/>
        </w:rPr>
        <w:t>i</w:t>
      </w:r>
      <w:proofErr w:type="spellEnd"/>
      <w:r w:rsidRPr="00CC5E7D">
        <w:rPr>
          <w:rFonts w:ascii="Times New Roman" w:hAnsi="Times New Roman" w:cs="Times New Roman"/>
          <w:sz w:val="24"/>
          <w:szCs w:val="24"/>
        </w:rPr>
        <w:t>) pollution of rivers and lakes due to the discharge of toxic effluents from factories and plants; (ii) vehicular air pollution; and (iii) deforestation and loss of biodiversity due to commercial logging, and illicit lopping and poaching. Thus there is need for active policy interventions and mass awareness among people to reduce environmental degradation in India.</w:t>
      </w:r>
    </w:p>
    <w:p w:rsidR="000131A9" w:rsidRDefault="000131A9" w:rsidP="00FF1E49">
      <w:pPr>
        <w:spacing w:after="0" w:line="360" w:lineRule="auto"/>
        <w:jc w:val="both"/>
        <w:rPr>
          <w:rFonts w:ascii="Times New Roman" w:eastAsia="Times New Roman" w:hAnsi="Times New Roman" w:cs="Times New Roman"/>
          <w:b/>
          <w:color w:val="0E101A"/>
          <w:sz w:val="24"/>
          <w:szCs w:val="24"/>
        </w:rPr>
      </w:pPr>
    </w:p>
    <w:p w:rsidR="000131A9" w:rsidRPr="000131A9" w:rsidRDefault="00C74A33" w:rsidP="00FF1E49">
      <w:pPr>
        <w:spacing w:after="0" w:line="360" w:lineRule="auto"/>
        <w:jc w:val="both"/>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4.3 GREEN ECONOMY</w:t>
      </w:r>
    </w:p>
    <w:p w:rsidR="009A5260" w:rsidRPr="00FF1E49" w:rsidRDefault="000767CA" w:rsidP="00FF1E49">
      <w:pPr>
        <w:spacing w:after="0"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w:t>
      </w:r>
      <w:r w:rsidR="009A5260" w:rsidRPr="00FF1E49">
        <w:rPr>
          <w:rFonts w:ascii="Times New Roman" w:eastAsia="Times New Roman" w:hAnsi="Times New Roman" w:cs="Times New Roman"/>
          <w:color w:val="0E101A"/>
          <w:sz w:val="24"/>
          <w:szCs w:val="24"/>
        </w:rPr>
        <w:t xml:space="preserve"> issue of the ‘Green Economy’ has gained some traction in recent times. Green growth has emerged as a panacea in dealing with a myriad of problems associated with the environment in the global platform. It reconciles the two formerly believed irreconcilable positions – economic growth and environmental sustainability. A green economy is a new </w:t>
      </w:r>
      <w:r w:rsidR="009A5260" w:rsidRPr="00FF1E49">
        <w:rPr>
          <w:rFonts w:ascii="Times New Roman" w:eastAsia="Times New Roman" w:hAnsi="Times New Roman" w:cs="Times New Roman"/>
          <w:color w:val="0E101A"/>
          <w:sz w:val="24"/>
          <w:szCs w:val="24"/>
        </w:rPr>
        <w:lastRenderedPageBreak/>
        <w:t>approach to economic development that improves the welfare and well-being of society while reducing environmental impacts. Many economists advocate now the ambitious goal of a “green economy” that embodies the concept of sustainable development. </w:t>
      </w:r>
    </w:p>
    <w:p w:rsidR="009A5260" w:rsidRPr="00FF1E49" w:rsidRDefault="009A5260" w:rsidP="00FF1E49">
      <w:pPr>
        <w:spacing w:after="0" w:line="360" w:lineRule="auto"/>
        <w:jc w:val="both"/>
        <w:rPr>
          <w:rFonts w:ascii="Times New Roman" w:eastAsia="Times New Roman" w:hAnsi="Times New Roman" w:cs="Times New Roman"/>
          <w:color w:val="0E101A"/>
          <w:sz w:val="24"/>
          <w:szCs w:val="24"/>
        </w:rPr>
      </w:pPr>
      <w:r w:rsidRPr="00FF1E49">
        <w:rPr>
          <w:rFonts w:ascii="Times New Roman" w:eastAsia="Times New Roman" w:hAnsi="Times New Roman" w:cs="Times New Roman"/>
          <w:color w:val="0E101A"/>
          <w:sz w:val="24"/>
          <w:szCs w:val="24"/>
        </w:rPr>
        <w:t>The definition of green economy as put forward by the United Nations Environment Program (UNEP) is:</w:t>
      </w:r>
    </w:p>
    <w:p w:rsidR="009A5260" w:rsidRPr="00FF1E49" w:rsidRDefault="009A5260" w:rsidP="00FF1E49">
      <w:pPr>
        <w:spacing w:after="0" w:line="360" w:lineRule="auto"/>
        <w:jc w:val="both"/>
        <w:rPr>
          <w:rFonts w:ascii="Times New Roman" w:eastAsia="Times New Roman" w:hAnsi="Times New Roman" w:cs="Times New Roman"/>
          <w:color w:val="0E101A"/>
          <w:sz w:val="24"/>
          <w:szCs w:val="24"/>
        </w:rPr>
      </w:pPr>
      <w:r w:rsidRPr="00FF1E49">
        <w:rPr>
          <w:rFonts w:ascii="Times New Roman" w:eastAsia="Times New Roman" w:hAnsi="Times New Roman" w:cs="Times New Roman"/>
          <w:color w:val="0E101A"/>
          <w:sz w:val="24"/>
          <w:szCs w:val="24"/>
        </w:rPr>
        <w:t>“One that results in improved human well-being and social equity, while significantly reducing environmental risks and ecological scarcities. In its simplest expression, a green economy can be thought of as one which is a low carbon, resource-efficient and socially inclusive.”</w:t>
      </w:r>
    </w:p>
    <w:p w:rsidR="009A5260" w:rsidRPr="00FF1E49" w:rsidRDefault="009A5260" w:rsidP="00FF1E49">
      <w:pPr>
        <w:spacing w:after="0" w:line="360" w:lineRule="auto"/>
        <w:jc w:val="both"/>
        <w:rPr>
          <w:rFonts w:ascii="Times New Roman" w:eastAsia="Times New Roman" w:hAnsi="Times New Roman" w:cs="Times New Roman"/>
          <w:color w:val="0E101A"/>
          <w:sz w:val="24"/>
          <w:szCs w:val="24"/>
        </w:rPr>
      </w:pPr>
      <w:r w:rsidRPr="00FF1E49">
        <w:rPr>
          <w:rFonts w:ascii="Times New Roman" w:eastAsia="Times New Roman" w:hAnsi="Times New Roman" w:cs="Times New Roman"/>
          <w:color w:val="0E101A"/>
          <w:sz w:val="24"/>
          <w:szCs w:val="24"/>
        </w:rPr>
        <w:t>According to the OECD report “Towards Green Growth (2011)”, a green economy can open up new sources of growth through many different channels such as follows:</w:t>
      </w:r>
    </w:p>
    <w:p w:rsidR="009A5260" w:rsidRPr="00FF1E49" w:rsidRDefault="009A5260" w:rsidP="00FF1E49">
      <w:pPr>
        <w:numPr>
          <w:ilvl w:val="0"/>
          <w:numId w:val="7"/>
        </w:numPr>
        <w:spacing w:after="0" w:line="360" w:lineRule="auto"/>
        <w:jc w:val="both"/>
        <w:rPr>
          <w:rFonts w:ascii="Times New Roman" w:eastAsia="Times New Roman" w:hAnsi="Times New Roman" w:cs="Times New Roman"/>
          <w:color w:val="0E101A"/>
          <w:sz w:val="24"/>
          <w:szCs w:val="24"/>
        </w:rPr>
      </w:pPr>
      <w:r w:rsidRPr="00FF1E49">
        <w:rPr>
          <w:rFonts w:ascii="Times New Roman" w:eastAsia="Times New Roman" w:hAnsi="Times New Roman" w:cs="Times New Roman"/>
          <w:color w:val="0E101A"/>
          <w:sz w:val="24"/>
          <w:szCs w:val="24"/>
        </w:rPr>
        <w:t xml:space="preserve">Productivity: Greater resource-efficiency will enhance productivity and reduce waste and consumption. </w:t>
      </w:r>
      <w:r w:rsidR="00B158AD">
        <w:rPr>
          <w:rFonts w:ascii="Times New Roman" w:eastAsia="Times New Roman" w:hAnsi="Times New Roman" w:cs="Times New Roman"/>
          <w:color w:val="0E101A"/>
          <w:sz w:val="24"/>
          <w:szCs w:val="24"/>
        </w:rPr>
        <w:t xml:space="preserve">It </w:t>
      </w:r>
      <w:r w:rsidRPr="00FF1E49">
        <w:rPr>
          <w:rFonts w:ascii="Times New Roman" w:eastAsia="Times New Roman" w:hAnsi="Times New Roman" w:cs="Times New Roman"/>
          <w:color w:val="0E101A"/>
          <w:sz w:val="24"/>
          <w:szCs w:val="24"/>
        </w:rPr>
        <w:t>will free resources from unproductive sectors and make them available to their highest-value use. </w:t>
      </w:r>
    </w:p>
    <w:p w:rsidR="009A5260" w:rsidRPr="00FF1E49" w:rsidRDefault="009A5260" w:rsidP="00FF1E49">
      <w:pPr>
        <w:numPr>
          <w:ilvl w:val="0"/>
          <w:numId w:val="7"/>
        </w:numPr>
        <w:spacing w:after="0" w:line="360" w:lineRule="auto"/>
        <w:jc w:val="both"/>
        <w:rPr>
          <w:rFonts w:ascii="Times New Roman" w:eastAsia="Times New Roman" w:hAnsi="Times New Roman" w:cs="Times New Roman"/>
          <w:color w:val="0E101A"/>
          <w:sz w:val="24"/>
          <w:szCs w:val="24"/>
        </w:rPr>
      </w:pPr>
      <w:r w:rsidRPr="00FF1E49">
        <w:rPr>
          <w:rFonts w:ascii="Times New Roman" w:eastAsia="Times New Roman" w:hAnsi="Times New Roman" w:cs="Times New Roman"/>
          <w:color w:val="0E101A"/>
          <w:sz w:val="24"/>
          <w:szCs w:val="24"/>
        </w:rPr>
        <w:t xml:space="preserve">New Markets: New markets will be created owing to the increasing demand for green technologies. This will </w:t>
      </w:r>
      <w:r w:rsidR="00B158AD">
        <w:rPr>
          <w:rFonts w:ascii="Times New Roman" w:eastAsia="Times New Roman" w:hAnsi="Times New Roman" w:cs="Times New Roman"/>
          <w:color w:val="0E101A"/>
          <w:sz w:val="24"/>
          <w:szCs w:val="24"/>
        </w:rPr>
        <w:t xml:space="preserve">in turn </w:t>
      </w:r>
      <w:r w:rsidRPr="00FF1E49">
        <w:rPr>
          <w:rFonts w:ascii="Times New Roman" w:eastAsia="Times New Roman" w:hAnsi="Times New Roman" w:cs="Times New Roman"/>
          <w:color w:val="0E101A"/>
          <w:sz w:val="24"/>
          <w:szCs w:val="24"/>
        </w:rPr>
        <w:t>create more jobs in these sectors.</w:t>
      </w:r>
    </w:p>
    <w:p w:rsidR="00B158AD" w:rsidRPr="00B158AD" w:rsidRDefault="00B158AD" w:rsidP="00B158AD">
      <w:pPr>
        <w:numPr>
          <w:ilvl w:val="0"/>
          <w:numId w:val="7"/>
        </w:numPr>
        <w:spacing w:after="0" w:line="360" w:lineRule="auto"/>
        <w:jc w:val="both"/>
        <w:rPr>
          <w:rFonts w:ascii="Times New Roman" w:eastAsia="Times New Roman" w:hAnsi="Times New Roman" w:cs="Times New Roman"/>
          <w:color w:val="0E101A"/>
          <w:sz w:val="24"/>
          <w:szCs w:val="24"/>
        </w:rPr>
      </w:pPr>
      <w:r w:rsidRPr="00B158AD">
        <w:rPr>
          <w:rFonts w:ascii="Times New Roman" w:eastAsia="Times New Roman" w:hAnsi="Times New Roman" w:cs="Times New Roman"/>
          <w:color w:val="0E101A"/>
          <w:sz w:val="24"/>
          <w:szCs w:val="24"/>
        </w:rPr>
        <w:t>Innovation: New opportunities for innovation</w:t>
      </w:r>
      <w:r>
        <w:rPr>
          <w:rFonts w:ascii="Times New Roman" w:eastAsia="Times New Roman" w:hAnsi="Times New Roman" w:cs="Times New Roman"/>
          <w:color w:val="0E101A"/>
          <w:sz w:val="24"/>
          <w:szCs w:val="24"/>
        </w:rPr>
        <w:t>s in green technologies</w:t>
      </w:r>
      <w:r w:rsidRPr="00B158AD">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that</w:t>
      </w:r>
      <w:r w:rsidRPr="00B158AD">
        <w:rPr>
          <w:rFonts w:ascii="Times New Roman" w:eastAsia="Times New Roman" w:hAnsi="Times New Roman" w:cs="Times New Roman"/>
          <w:color w:val="0E101A"/>
          <w:sz w:val="24"/>
          <w:szCs w:val="24"/>
        </w:rPr>
        <w:t xml:space="preserve"> will be sustainable and effective in nature.</w:t>
      </w:r>
    </w:p>
    <w:p w:rsidR="009A5260" w:rsidRPr="00FF1E49" w:rsidRDefault="009A5260" w:rsidP="00FF1E49">
      <w:pPr>
        <w:numPr>
          <w:ilvl w:val="0"/>
          <w:numId w:val="7"/>
        </w:numPr>
        <w:spacing w:after="0" w:line="360" w:lineRule="auto"/>
        <w:jc w:val="both"/>
        <w:rPr>
          <w:rFonts w:ascii="Times New Roman" w:eastAsia="Times New Roman" w:hAnsi="Times New Roman" w:cs="Times New Roman"/>
          <w:color w:val="0E101A"/>
          <w:sz w:val="24"/>
          <w:szCs w:val="24"/>
        </w:rPr>
      </w:pPr>
      <w:r w:rsidRPr="00FF1E49">
        <w:rPr>
          <w:rFonts w:ascii="Times New Roman" w:eastAsia="Times New Roman" w:hAnsi="Times New Roman" w:cs="Times New Roman"/>
          <w:color w:val="0E101A"/>
          <w:sz w:val="24"/>
          <w:szCs w:val="24"/>
        </w:rPr>
        <w:t xml:space="preserve">Confidence: It will boost the confidence of the investors as they will have greater predictability </w:t>
      </w:r>
      <w:r w:rsidR="000767CA">
        <w:rPr>
          <w:rFonts w:ascii="Times New Roman" w:eastAsia="Times New Roman" w:hAnsi="Times New Roman" w:cs="Times New Roman"/>
          <w:color w:val="0E101A"/>
          <w:sz w:val="24"/>
          <w:szCs w:val="24"/>
        </w:rPr>
        <w:t xml:space="preserve">about </w:t>
      </w:r>
      <w:r w:rsidRPr="00FF1E49">
        <w:rPr>
          <w:rFonts w:ascii="Times New Roman" w:eastAsia="Times New Roman" w:hAnsi="Times New Roman" w:cs="Times New Roman"/>
          <w:color w:val="0E101A"/>
          <w:sz w:val="24"/>
          <w:szCs w:val="24"/>
        </w:rPr>
        <w:t>government</w:t>
      </w:r>
      <w:r w:rsidR="000767CA">
        <w:rPr>
          <w:rFonts w:ascii="Times New Roman" w:eastAsia="Times New Roman" w:hAnsi="Times New Roman" w:cs="Times New Roman"/>
          <w:color w:val="0E101A"/>
          <w:sz w:val="24"/>
          <w:szCs w:val="24"/>
        </w:rPr>
        <w:t>’</w:t>
      </w:r>
      <w:r w:rsidRPr="00FF1E49">
        <w:rPr>
          <w:rFonts w:ascii="Times New Roman" w:eastAsia="Times New Roman" w:hAnsi="Times New Roman" w:cs="Times New Roman"/>
          <w:color w:val="0E101A"/>
          <w:sz w:val="24"/>
          <w:szCs w:val="24"/>
        </w:rPr>
        <w:t xml:space="preserve">s </w:t>
      </w:r>
      <w:proofErr w:type="spellStart"/>
      <w:r w:rsidRPr="00FF1E49">
        <w:rPr>
          <w:rFonts w:ascii="Times New Roman" w:eastAsia="Times New Roman" w:hAnsi="Times New Roman" w:cs="Times New Roman"/>
          <w:color w:val="0E101A"/>
          <w:sz w:val="24"/>
          <w:szCs w:val="24"/>
        </w:rPr>
        <w:t>dea</w:t>
      </w:r>
      <w:r w:rsidR="000767CA">
        <w:rPr>
          <w:rFonts w:ascii="Times New Roman" w:eastAsia="Times New Roman" w:hAnsi="Times New Roman" w:cs="Times New Roman"/>
          <w:color w:val="0E101A"/>
          <w:sz w:val="24"/>
          <w:szCs w:val="24"/>
        </w:rPr>
        <w:t>ing</w:t>
      </w:r>
      <w:r w:rsidRPr="00FF1E49">
        <w:rPr>
          <w:rFonts w:ascii="Times New Roman" w:eastAsia="Times New Roman" w:hAnsi="Times New Roman" w:cs="Times New Roman"/>
          <w:color w:val="0E101A"/>
          <w:sz w:val="24"/>
          <w:szCs w:val="24"/>
        </w:rPr>
        <w:t>l</w:t>
      </w:r>
      <w:proofErr w:type="spellEnd"/>
      <w:r w:rsidRPr="00FF1E49">
        <w:rPr>
          <w:rFonts w:ascii="Times New Roman" w:eastAsia="Times New Roman" w:hAnsi="Times New Roman" w:cs="Times New Roman"/>
          <w:color w:val="0E101A"/>
          <w:sz w:val="24"/>
          <w:szCs w:val="24"/>
        </w:rPr>
        <w:t xml:space="preserve"> with environmental issues.</w:t>
      </w:r>
    </w:p>
    <w:p w:rsidR="009A5260" w:rsidRPr="00FF1E49" w:rsidRDefault="009A5260" w:rsidP="00FF1E49">
      <w:pPr>
        <w:numPr>
          <w:ilvl w:val="0"/>
          <w:numId w:val="7"/>
        </w:numPr>
        <w:spacing w:after="0" w:line="360" w:lineRule="auto"/>
        <w:jc w:val="both"/>
        <w:rPr>
          <w:rFonts w:ascii="Times New Roman" w:eastAsia="Times New Roman" w:hAnsi="Times New Roman" w:cs="Times New Roman"/>
          <w:color w:val="0E101A"/>
          <w:sz w:val="24"/>
          <w:szCs w:val="24"/>
        </w:rPr>
      </w:pPr>
      <w:r w:rsidRPr="00FF1E49">
        <w:rPr>
          <w:rFonts w:ascii="Times New Roman" w:eastAsia="Times New Roman" w:hAnsi="Times New Roman" w:cs="Times New Roman"/>
          <w:color w:val="0E101A"/>
          <w:sz w:val="24"/>
          <w:szCs w:val="24"/>
        </w:rPr>
        <w:t>Stability: It can promote a balanced macroeconomic condition by reducing price volatility, increasing public revenue through pollution taxation and supporting fiscal consolidation. </w:t>
      </w:r>
    </w:p>
    <w:p w:rsidR="009A5260" w:rsidRPr="00FF1E49" w:rsidRDefault="009A5260" w:rsidP="00FF1E49">
      <w:pPr>
        <w:spacing w:after="0" w:line="360" w:lineRule="auto"/>
        <w:jc w:val="both"/>
        <w:rPr>
          <w:rFonts w:ascii="Times New Roman" w:eastAsia="Times New Roman" w:hAnsi="Times New Roman" w:cs="Times New Roman"/>
          <w:color w:val="0E101A"/>
          <w:sz w:val="24"/>
          <w:szCs w:val="24"/>
        </w:rPr>
      </w:pPr>
    </w:p>
    <w:p w:rsidR="009A5260" w:rsidRDefault="009A5260" w:rsidP="00FF1E49">
      <w:pPr>
        <w:spacing w:after="0" w:line="360" w:lineRule="auto"/>
        <w:jc w:val="both"/>
        <w:rPr>
          <w:rFonts w:ascii="Times New Roman" w:eastAsia="Times New Roman" w:hAnsi="Times New Roman" w:cs="Times New Roman"/>
          <w:color w:val="0E101A"/>
          <w:sz w:val="24"/>
          <w:szCs w:val="24"/>
        </w:rPr>
      </w:pPr>
      <w:r w:rsidRPr="00FF1E49">
        <w:rPr>
          <w:rFonts w:ascii="Times New Roman" w:eastAsia="Times New Roman" w:hAnsi="Times New Roman" w:cs="Times New Roman"/>
          <w:color w:val="0E101A"/>
          <w:sz w:val="24"/>
          <w:szCs w:val="24"/>
        </w:rPr>
        <w:t xml:space="preserve">Economic growth in conventional economics is measured in a very narrow way. Green economists propose a move towards a ‘steady-state’ </w:t>
      </w:r>
      <w:r w:rsidR="000767CA">
        <w:rPr>
          <w:rFonts w:ascii="Times New Roman" w:eastAsia="Times New Roman" w:hAnsi="Times New Roman" w:cs="Times New Roman"/>
          <w:color w:val="0E101A"/>
          <w:sz w:val="24"/>
          <w:szCs w:val="24"/>
        </w:rPr>
        <w:t xml:space="preserve">green </w:t>
      </w:r>
      <w:r w:rsidRPr="00FF1E49">
        <w:rPr>
          <w:rFonts w:ascii="Times New Roman" w:eastAsia="Times New Roman" w:hAnsi="Times New Roman" w:cs="Times New Roman"/>
          <w:color w:val="0E101A"/>
          <w:sz w:val="24"/>
          <w:szCs w:val="24"/>
        </w:rPr>
        <w:t>economy from a ‘consumption-based’ economy with unlimited needs. A steady-state</w:t>
      </w:r>
      <w:r w:rsidR="000767CA">
        <w:rPr>
          <w:rFonts w:ascii="Times New Roman" w:eastAsia="Times New Roman" w:hAnsi="Times New Roman" w:cs="Times New Roman"/>
          <w:color w:val="0E101A"/>
          <w:sz w:val="24"/>
          <w:szCs w:val="24"/>
        </w:rPr>
        <w:t xml:space="preserve"> green</w:t>
      </w:r>
      <w:r w:rsidRPr="00FF1E49">
        <w:rPr>
          <w:rFonts w:ascii="Times New Roman" w:eastAsia="Times New Roman" w:hAnsi="Times New Roman" w:cs="Times New Roman"/>
          <w:color w:val="0E101A"/>
          <w:sz w:val="24"/>
          <w:szCs w:val="24"/>
        </w:rPr>
        <w:t xml:space="preserve"> economy is a sustainable economy that respects the environment and thus natural capital is considered as a scarce resource. They </w:t>
      </w:r>
      <w:r w:rsidR="000767CA">
        <w:rPr>
          <w:rFonts w:ascii="Times New Roman" w:eastAsia="Times New Roman" w:hAnsi="Times New Roman" w:cs="Times New Roman"/>
          <w:color w:val="0E101A"/>
          <w:sz w:val="24"/>
          <w:szCs w:val="24"/>
        </w:rPr>
        <w:t xml:space="preserve">propose </w:t>
      </w:r>
      <w:proofErr w:type="gramStart"/>
      <w:r w:rsidR="000767CA">
        <w:rPr>
          <w:rFonts w:ascii="Times New Roman" w:eastAsia="Times New Roman" w:hAnsi="Times New Roman" w:cs="Times New Roman"/>
          <w:color w:val="0E101A"/>
          <w:sz w:val="24"/>
          <w:szCs w:val="24"/>
        </w:rPr>
        <w:t xml:space="preserve">minimizing </w:t>
      </w:r>
      <w:r w:rsidRPr="00FF1E49">
        <w:rPr>
          <w:rFonts w:ascii="Times New Roman" w:eastAsia="Times New Roman" w:hAnsi="Times New Roman" w:cs="Times New Roman"/>
          <w:color w:val="0E101A"/>
          <w:sz w:val="24"/>
          <w:szCs w:val="24"/>
        </w:rPr>
        <w:t xml:space="preserve"> use</w:t>
      </w:r>
      <w:proofErr w:type="gramEnd"/>
      <w:r w:rsidRPr="00FF1E49">
        <w:rPr>
          <w:rFonts w:ascii="Times New Roman" w:eastAsia="Times New Roman" w:hAnsi="Times New Roman" w:cs="Times New Roman"/>
          <w:color w:val="0E101A"/>
          <w:sz w:val="24"/>
          <w:szCs w:val="24"/>
        </w:rPr>
        <w:t xml:space="preserve"> but ma</w:t>
      </w:r>
      <w:r w:rsidR="000767CA">
        <w:rPr>
          <w:rFonts w:ascii="Times New Roman" w:eastAsia="Times New Roman" w:hAnsi="Times New Roman" w:cs="Times New Roman"/>
          <w:color w:val="0E101A"/>
          <w:sz w:val="24"/>
          <w:szCs w:val="24"/>
        </w:rPr>
        <w:t>ximizing</w:t>
      </w:r>
      <w:r w:rsidRPr="00FF1E49">
        <w:rPr>
          <w:rFonts w:ascii="Times New Roman" w:eastAsia="Times New Roman" w:hAnsi="Times New Roman" w:cs="Times New Roman"/>
          <w:color w:val="0E101A"/>
          <w:sz w:val="24"/>
          <w:szCs w:val="24"/>
        </w:rPr>
        <w:t xml:space="preserve"> productivity of these scarce resources. Thus, to achieve the steady-state, policymakers should consider the number of people sharing scarce resources, the total demand for resources, and the regenerative capacity of the earth.</w:t>
      </w:r>
    </w:p>
    <w:p w:rsidR="00D11848" w:rsidRDefault="00D11848" w:rsidP="00FF1E49">
      <w:pPr>
        <w:spacing w:after="0" w:line="360" w:lineRule="auto"/>
        <w:jc w:val="both"/>
        <w:rPr>
          <w:rFonts w:ascii="Times New Roman" w:eastAsia="Times New Roman" w:hAnsi="Times New Roman" w:cs="Times New Roman"/>
          <w:color w:val="0E101A"/>
          <w:sz w:val="24"/>
          <w:szCs w:val="24"/>
        </w:rPr>
      </w:pPr>
    </w:p>
    <w:p w:rsidR="00D11848" w:rsidRDefault="000767CA" w:rsidP="00D11848">
      <w:pPr>
        <w:spacing w:line="360" w:lineRule="auto"/>
        <w:jc w:val="both"/>
        <w:rPr>
          <w:rFonts w:ascii="Times New Roman" w:hAnsi="Times New Roman" w:cs="Times New Roman"/>
          <w:b/>
          <w:sz w:val="24"/>
          <w:szCs w:val="24"/>
        </w:rPr>
      </w:pPr>
      <w:r>
        <w:rPr>
          <w:rFonts w:ascii="Times New Roman" w:hAnsi="Times New Roman" w:cs="Times New Roman"/>
          <w:b/>
          <w:sz w:val="24"/>
          <w:szCs w:val="24"/>
        </w:rPr>
        <w:br w:type="column"/>
      </w:r>
      <w:r w:rsidR="003D5178">
        <w:rPr>
          <w:rFonts w:ascii="Times New Roman" w:hAnsi="Times New Roman" w:cs="Times New Roman"/>
          <w:b/>
          <w:sz w:val="24"/>
          <w:szCs w:val="24"/>
        </w:rPr>
        <w:lastRenderedPageBreak/>
        <w:t>4.4</w:t>
      </w:r>
      <w:r w:rsidR="00C74A33">
        <w:rPr>
          <w:rFonts w:ascii="Times New Roman" w:hAnsi="Times New Roman" w:cs="Times New Roman"/>
          <w:b/>
          <w:sz w:val="24"/>
          <w:szCs w:val="24"/>
        </w:rPr>
        <w:t xml:space="preserve"> CLIMATE CHANGE</w:t>
      </w:r>
    </w:p>
    <w:p w:rsidR="00C74A33" w:rsidRDefault="00C74A33" w:rsidP="00C74A3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Pr="00C74A33">
        <w:rPr>
          <w:rFonts w:ascii="Times New Roman" w:hAnsi="Times New Roman" w:cs="Times New Roman"/>
          <w:b/>
          <w:sz w:val="24"/>
          <w:szCs w:val="24"/>
        </w:rPr>
        <w:t>Causes of Climate Change:</w:t>
      </w:r>
    </w:p>
    <w:p w:rsidR="00D11848" w:rsidRPr="00C74A33" w:rsidRDefault="00D11848" w:rsidP="00C74A33">
      <w:pPr>
        <w:spacing w:line="360" w:lineRule="auto"/>
        <w:jc w:val="both"/>
        <w:rPr>
          <w:rFonts w:ascii="Times New Roman" w:hAnsi="Times New Roman" w:cs="Times New Roman"/>
          <w:b/>
          <w:sz w:val="24"/>
          <w:szCs w:val="24"/>
        </w:rPr>
      </w:pPr>
      <w:r w:rsidRPr="005776CC">
        <w:rPr>
          <w:rFonts w:ascii="Times New Roman" w:hAnsi="Times New Roman" w:cs="Times New Roman"/>
          <w:sz w:val="24"/>
          <w:szCs w:val="24"/>
        </w:rPr>
        <w:t xml:space="preserve">The major challenge to sustainable development is climate change (World Resource Institute, GOI 2007, Parikh and </w:t>
      </w:r>
      <w:proofErr w:type="spellStart"/>
      <w:r w:rsidRPr="005776CC">
        <w:rPr>
          <w:rFonts w:ascii="Times New Roman" w:hAnsi="Times New Roman" w:cs="Times New Roman"/>
          <w:sz w:val="24"/>
          <w:szCs w:val="24"/>
        </w:rPr>
        <w:t>Parkh</w:t>
      </w:r>
      <w:proofErr w:type="spellEnd"/>
      <w:r w:rsidRPr="005776CC">
        <w:rPr>
          <w:rFonts w:ascii="Times New Roman" w:hAnsi="Times New Roman" w:cs="Times New Roman"/>
          <w:sz w:val="24"/>
          <w:szCs w:val="24"/>
        </w:rPr>
        <w:t xml:space="preserve"> 1997, </w:t>
      </w:r>
      <w:proofErr w:type="spellStart"/>
      <w:r w:rsidRPr="005776CC">
        <w:rPr>
          <w:rFonts w:ascii="Times New Roman" w:hAnsi="Times New Roman" w:cs="Times New Roman"/>
          <w:sz w:val="24"/>
          <w:szCs w:val="24"/>
        </w:rPr>
        <w:t>Sathaye</w:t>
      </w:r>
      <w:proofErr w:type="spellEnd"/>
      <w:r w:rsidRPr="005776CC">
        <w:rPr>
          <w:rFonts w:ascii="Times New Roman" w:hAnsi="Times New Roman" w:cs="Times New Roman"/>
          <w:sz w:val="24"/>
          <w:szCs w:val="24"/>
        </w:rPr>
        <w:t xml:space="preserve"> et al 2006, </w:t>
      </w:r>
      <w:proofErr w:type="spellStart"/>
      <w:r w:rsidRPr="005776CC">
        <w:rPr>
          <w:rFonts w:ascii="Times New Roman" w:hAnsi="Times New Roman" w:cs="Times New Roman"/>
          <w:sz w:val="24"/>
          <w:szCs w:val="24"/>
        </w:rPr>
        <w:t>Kavi</w:t>
      </w:r>
      <w:proofErr w:type="spellEnd"/>
      <w:r w:rsidRPr="005776CC">
        <w:rPr>
          <w:rFonts w:ascii="Times New Roman" w:hAnsi="Times New Roman" w:cs="Times New Roman"/>
          <w:sz w:val="24"/>
          <w:szCs w:val="24"/>
        </w:rPr>
        <w:t xml:space="preserve"> Kumar). Climate change is change in the statistical distribution of weather over periods of time. The major causes of climate change in India are </w:t>
      </w:r>
      <w:r w:rsidRPr="005776CC">
        <w:rPr>
          <w:rFonts w:ascii="Times New Roman" w:eastAsia="Times New Roman" w:hAnsi="Times New Roman" w:cs="Times New Roman"/>
          <w:sz w:val="24"/>
          <w:szCs w:val="24"/>
        </w:rPr>
        <w:t xml:space="preserve">Green House Gases, Deforestation, Land-use Change, Energy Usage, Vehicular Usage and Generation of Solid Waste. </w:t>
      </w:r>
    </w:p>
    <w:p w:rsidR="00D11848" w:rsidRPr="005776CC" w:rsidRDefault="00D11848" w:rsidP="00D11848">
      <w:pPr>
        <w:pStyle w:val="Default"/>
        <w:spacing w:line="360" w:lineRule="auto"/>
        <w:jc w:val="both"/>
      </w:pPr>
      <w:r w:rsidRPr="005776CC">
        <w:rPr>
          <w:color w:val="2B2B2B"/>
        </w:rPr>
        <w:t xml:space="preserve">Many scientific studies and most of the climate scientists agree that Climate-warming trends over the past century are extremely likely to be due to human activities. The 2013 and 2014 reports of the Intergovernmental Panel on Climate Change clearly attribute the majority of recently </w:t>
      </w:r>
      <w:r w:rsidRPr="005776CC">
        <w:t xml:space="preserve">observed global climate change to human-made greenhouse gas emissions. The IPPC projects a temperature increase by 2100 of between 1.5°C (2.7°F) and 4.8°C (8.6°F), relative to pre-industrial levels. </w:t>
      </w:r>
      <w:proofErr w:type="gramStart"/>
      <w:r w:rsidRPr="005776CC">
        <w:t>( GADE</w:t>
      </w:r>
      <w:proofErr w:type="gramEnd"/>
      <w:r w:rsidRPr="005776CC">
        <w:t>)</w:t>
      </w:r>
    </w:p>
    <w:p w:rsidR="00D11848" w:rsidRPr="005776CC" w:rsidRDefault="00D11848" w:rsidP="00D11848">
      <w:pPr>
        <w:autoSpaceDE w:val="0"/>
        <w:autoSpaceDN w:val="0"/>
        <w:adjustRightInd w:val="0"/>
        <w:spacing w:after="0" w:line="360" w:lineRule="auto"/>
        <w:jc w:val="both"/>
        <w:rPr>
          <w:rFonts w:ascii="Times New Roman" w:eastAsia="Times New Roman" w:hAnsi="Times New Roman" w:cs="Times New Roman"/>
          <w:sz w:val="24"/>
          <w:szCs w:val="24"/>
        </w:rPr>
      </w:pPr>
    </w:p>
    <w:p w:rsidR="00D11848" w:rsidRPr="005776CC" w:rsidRDefault="00D11848" w:rsidP="00D11848">
      <w:pPr>
        <w:autoSpaceDE w:val="0"/>
        <w:autoSpaceDN w:val="0"/>
        <w:adjustRightInd w:val="0"/>
        <w:spacing w:after="0" w:line="360" w:lineRule="auto"/>
        <w:jc w:val="both"/>
        <w:rPr>
          <w:rFonts w:ascii="Times New Roman" w:eastAsia="Times New Roman" w:hAnsi="Times New Roman" w:cs="Times New Roman"/>
          <w:sz w:val="23"/>
          <w:szCs w:val="23"/>
        </w:rPr>
      </w:pPr>
      <w:r w:rsidRPr="005776CC">
        <w:rPr>
          <w:rFonts w:ascii="Times New Roman" w:eastAsia="Times New Roman" w:hAnsi="Times New Roman" w:cs="Times New Roman"/>
          <w:b/>
          <w:sz w:val="23"/>
          <w:szCs w:val="23"/>
        </w:rPr>
        <w:t xml:space="preserve">Green House Gas Emission: </w:t>
      </w:r>
      <w:r w:rsidRPr="005776CC">
        <w:rPr>
          <w:rFonts w:ascii="Times New Roman" w:eastAsia="Times New Roman" w:hAnsi="Times New Roman" w:cs="Times New Roman"/>
          <w:sz w:val="23"/>
          <w:szCs w:val="23"/>
        </w:rPr>
        <w:t>Human civilization and industrialization have amplified the emissions of   Green House Gases’ (GHG), which are considered to be one of the main causal factors accelerating climate change in the post industrialization era. GHGs constitute: Carbon Dioxide (CO</w:t>
      </w:r>
      <w:r w:rsidRPr="005776CC">
        <w:rPr>
          <w:rFonts w:ascii="Times New Roman" w:eastAsia="Times New Roman" w:hAnsi="Times New Roman" w:cs="Times New Roman"/>
          <w:sz w:val="15"/>
          <w:szCs w:val="15"/>
        </w:rPr>
        <w:t>2</w:t>
      </w:r>
      <w:r w:rsidRPr="005776CC">
        <w:rPr>
          <w:rFonts w:ascii="Times New Roman" w:eastAsia="Times New Roman" w:hAnsi="Times New Roman" w:cs="Times New Roman"/>
          <w:sz w:val="23"/>
          <w:szCs w:val="23"/>
        </w:rPr>
        <w:t>), Methane (CH</w:t>
      </w:r>
      <w:r w:rsidRPr="005776CC">
        <w:rPr>
          <w:rFonts w:ascii="Times New Roman" w:eastAsia="Times New Roman" w:hAnsi="Times New Roman" w:cs="Times New Roman"/>
          <w:sz w:val="15"/>
          <w:szCs w:val="15"/>
        </w:rPr>
        <w:t>4</w:t>
      </w:r>
      <w:r w:rsidRPr="005776CC">
        <w:rPr>
          <w:rFonts w:ascii="Times New Roman" w:eastAsia="Times New Roman" w:hAnsi="Times New Roman" w:cs="Times New Roman"/>
          <w:sz w:val="23"/>
          <w:szCs w:val="23"/>
        </w:rPr>
        <w:t>), Nitrous Oxide (NO</w:t>
      </w:r>
      <w:r w:rsidRPr="005776CC">
        <w:rPr>
          <w:rFonts w:ascii="Times New Roman" w:eastAsia="Times New Roman" w:hAnsi="Times New Roman" w:cs="Times New Roman"/>
          <w:sz w:val="15"/>
          <w:szCs w:val="15"/>
        </w:rPr>
        <w:t>2</w:t>
      </w:r>
      <w:r w:rsidRPr="005776CC">
        <w:rPr>
          <w:rFonts w:ascii="Times New Roman" w:eastAsia="Times New Roman" w:hAnsi="Times New Roman" w:cs="Times New Roman"/>
          <w:sz w:val="23"/>
          <w:szCs w:val="23"/>
        </w:rPr>
        <w:t xml:space="preserve">), </w:t>
      </w:r>
      <w:proofErr w:type="spellStart"/>
      <w:proofErr w:type="gramStart"/>
      <w:r w:rsidRPr="005776CC">
        <w:rPr>
          <w:rFonts w:ascii="Times New Roman" w:eastAsia="Times New Roman" w:hAnsi="Times New Roman" w:cs="Times New Roman"/>
          <w:sz w:val="23"/>
          <w:szCs w:val="23"/>
        </w:rPr>
        <w:t>Hydrofluorocarbons</w:t>
      </w:r>
      <w:proofErr w:type="spellEnd"/>
      <w:proofErr w:type="gramEnd"/>
      <w:r w:rsidRPr="005776CC">
        <w:rPr>
          <w:rFonts w:ascii="Times New Roman" w:eastAsia="Times New Roman" w:hAnsi="Times New Roman" w:cs="Times New Roman"/>
          <w:sz w:val="23"/>
          <w:szCs w:val="23"/>
        </w:rPr>
        <w:t xml:space="preserve"> (HFCs) </w:t>
      </w:r>
      <w:proofErr w:type="spellStart"/>
      <w:r w:rsidRPr="005776CC">
        <w:rPr>
          <w:rFonts w:ascii="Times New Roman" w:eastAsia="Times New Roman" w:hAnsi="Times New Roman" w:cs="Times New Roman"/>
          <w:sz w:val="23"/>
          <w:szCs w:val="23"/>
        </w:rPr>
        <w:t>Perflurocarbons</w:t>
      </w:r>
      <w:proofErr w:type="spellEnd"/>
      <w:r w:rsidRPr="005776CC">
        <w:rPr>
          <w:rFonts w:ascii="Times New Roman" w:eastAsia="Times New Roman" w:hAnsi="Times New Roman" w:cs="Times New Roman"/>
          <w:sz w:val="23"/>
          <w:szCs w:val="23"/>
        </w:rPr>
        <w:t xml:space="preserve"> (PFCs) </w:t>
      </w:r>
      <w:proofErr w:type="spellStart"/>
      <w:r w:rsidRPr="005776CC">
        <w:rPr>
          <w:rFonts w:ascii="Times New Roman" w:eastAsia="Times New Roman" w:hAnsi="Times New Roman" w:cs="Times New Roman"/>
          <w:sz w:val="23"/>
          <w:szCs w:val="23"/>
        </w:rPr>
        <w:t>Sulpurhexafluride</w:t>
      </w:r>
      <w:proofErr w:type="spellEnd"/>
      <w:r w:rsidRPr="005776CC">
        <w:rPr>
          <w:rFonts w:ascii="Times New Roman" w:eastAsia="Times New Roman" w:hAnsi="Times New Roman" w:cs="Times New Roman"/>
          <w:sz w:val="23"/>
          <w:szCs w:val="23"/>
        </w:rPr>
        <w:t xml:space="preserve"> (SF</w:t>
      </w:r>
      <w:r w:rsidRPr="005776CC">
        <w:rPr>
          <w:rFonts w:ascii="Times New Roman" w:eastAsia="Times New Roman" w:hAnsi="Times New Roman" w:cs="Times New Roman"/>
          <w:sz w:val="15"/>
          <w:szCs w:val="15"/>
        </w:rPr>
        <w:t>6</w:t>
      </w:r>
      <w:r w:rsidRPr="005776CC">
        <w:rPr>
          <w:rFonts w:ascii="Times New Roman" w:eastAsia="Times New Roman" w:hAnsi="Times New Roman" w:cs="Times New Roman"/>
          <w:sz w:val="23"/>
          <w:szCs w:val="23"/>
        </w:rPr>
        <w:t>).  The per-capita emission of an Indian citizen is about 1.43 tonnes of Carbon where the world average is 4.74 tonnes.</w:t>
      </w:r>
    </w:p>
    <w:p w:rsidR="004A4726" w:rsidRDefault="004A4726" w:rsidP="00D11848">
      <w:pPr>
        <w:pStyle w:val="Default"/>
        <w:spacing w:line="360" w:lineRule="auto"/>
        <w:jc w:val="both"/>
      </w:pPr>
    </w:p>
    <w:p w:rsidR="00D11848" w:rsidRPr="005776CC" w:rsidRDefault="00D11848" w:rsidP="00D11848">
      <w:pPr>
        <w:pStyle w:val="Default"/>
        <w:spacing w:line="360" w:lineRule="auto"/>
        <w:jc w:val="both"/>
      </w:pPr>
      <w:r w:rsidRPr="005776CC">
        <w:t>In developed countries, there has been a rapid switch from coal to natural gas and renewable energy, lowering overall CO</w:t>
      </w:r>
      <w:r w:rsidRPr="005776CC">
        <w:rPr>
          <w:sz w:val="16"/>
          <w:szCs w:val="16"/>
        </w:rPr>
        <w:t xml:space="preserve">2 </w:t>
      </w:r>
      <w:r w:rsidRPr="005776CC">
        <w:t xml:space="preserve">emissions. In developing countries, coal production is still expanding, but an increasing share of new energy production is also coming from </w:t>
      </w:r>
      <w:proofErr w:type="spellStart"/>
      <w:r w:rsidRPr="005776CC">
        <w:t>renewables</w:t>
      </w:r>
      <w:proofErr w:type="spellEnd"/>
      <w:r w:rsidRPr="005776CC">
        <w:t>.</w:t>
      </w:r>
      <w:r w:rsidRPr="005776CC">
        <w:rPr>
          <w:sz w:val="16"/>
          <w:szCs w:val="16"/>
        </w:rPr>
        <w:t xml:space="preserve"> </w:t>
      </w:r>
      <w:r>
        <w:t>Fig.</w:t>
      </w:r>
      <w:r w:rsidR="00FE199F">
        <w:t xml:space="preserve"> 2</w:t>
      </w:r>
      <w:r w:rsidRPr="005776CC">
        <w:t xml:space="preserve"> shows the distribution of CO</w:t>
      </w:r>
      <w:r w:rsidRPr="005776CC">
        <w:rPr>
          <w:sz w:val="16"/>
          <w:szCs w:val="16"/>
        </w:rPr>
        <w:t xml:space="preserve">2 </w:t>
      </w:r>
      <w:r w:rsidRPr="005776CC">
        <w:t>emissions among the main emitters: China (29%), the United States (15%), the European Union (11%), India (6%), Russia (5%), Japan (4%), and the rest of the world (30%). Most of the future growth in carbon emissions is expected to come from rapidly expanding developing countries such as China and India. China surpassed the United States in 2006 as the largest carbon emitter in the world. However</w:t>
      </w:r>
      <w:r>
        <w:t xml:space="preserve">, </w:t>
      </w:r>
      <w:r w:rsidRPr="005776CC">
        <w:t xml:space="preserve">  per capita emission is highest in USA followed by Russia, Japan and Germany</w:t>
      </w:r>
      <w:r w:rsidR="00FE199F">
        <w:t xml:space="preserve"> </w:t>
      </w:r>
      <w:proofErr w:type="gramStart"/>
      <w:r w:rsidR="00FE199F">
        <w:t>( Fig.2</w:t>
      </w:r>
      <w:proofErr w:type="gramEnd"/>
      <w:r>
        <w:t>)</w:t>
      </w:r>
      <w:r w:rsidRPr="005776CC">
        <w:t>.</w:t>
      </w:r>
    </w:p>
    <w:p w:rsidR="00D11848" w:rsidRPr="005776CC" w:rsidRDefault="00FE199F" w:rsidP="00D11848">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Fig.2</w:t>
      </w:r>
      <w:r w:rsidR="00D11848" w:rsidRPr="005776CC">
        <w:rPr>
          <w:rFonts w:ascii="Times New Roman" w:hAnsi="Times New Roman" w:cs="Times New Roman"/>
          <w:b/>
          <w:sz w:val="24"/>
          <w:szCs w:val="24"/>
        </w:rPr>
        <w:t xml:space="preserve"> :</w:t>
      </w:r>
      <w:proofErr w:type="gramEnd"/>
      <w:r w:rsidR="00D11848" w:rsidRPr="005776CC">
        <w:rPr>
          <w:rFonts w:ascii="Times New Roman" w:hAnsi="Times New Roman" w:cs="Times New Roman"/>
          <w:b/>
          <w:sz w:val="24"/>
          <w:szCs w:val="24"/>
        </w:rPr>
        <w:t xml:space="preserve"> Percentage of Some Countries </w:t>
      </w:r>
      <w:proofErr w:type="spellStart"/>
      <w:r w:rsidR="00D11848" w:rsidRPr="005776CC">
        <w:rPr>
          <w:rFonts w:ascii="Times New Roman" w:hAnsi="Times New Roman" w:cs="Times New Roman"/>
          <w:b/>
          <w:sz w:val="24"/>
          <w:szCs w:val="24"/>
        </w:rPr>
        <w:t>Regiion</w:t>
      </w:r>
      <w:proofErr w:type="spellEnd"/>
      <w:r w:rsidR="00D11848" w:rsidRPr="005776CC">
        <w:rPr>
          <w:rFonts w:ascii="Times New Roman" w:hAnsi="Times New Roman" w:cs="Times New Roman"/>
          <w:b/>
          <w:sz w:val="24"/>
          <w:szCs w:val="24"/>
        </w:rPr>
        <w:t xml:space="preserve"> in World CO</w:t>
      </w:r>
      <w:r w:rsidR="00D11848" w:rsidRPr="005776CC">
        <w:rPr>
          <w:rFonts w:ascii="Times New Roman" w:hAnsi="Times New Roman" w:cs="Times New Roman"/>
          <w:b/>
          <w:sz w:val="24"/>
          <w:szCs w:val="24"/>
          <w:vertAlign w:val="subscript"/>
        </w:rPr>
        <w:t>2</w:t>
      </w:r>
      <w:r w:rsidR="00D11848" w:rsidRPr="005776CC">
        <w:rPr>
          <w:rFonts w:ascii="Times New Roman" w:hAnsi="Times New Roman" w:cs="Times New Roman"/>
          <w:b/>
          <w:sz w:val="24"/>
          <w:szCs w:val="24"/>
        </w:rPr>
        <w:t xml:space="preserve"> Emissions in 2014</w:t>
      </w:r>
    </w:p>
    <w:p w:rsidR="00D11848" w:rsidRPr="005776CC" w:rsidRDefault="00D11848" w:rsidP="00D11848">
      <w:pPr>
        <w:spacing w:line="360" w:lineRule="auto"/>
        <w:jc w:val="both"/>
        <w:rPr>
          <w:rFonts w:ascii="Times New Roman" w:hAnsi="Times New Roman" w:cs="Times New Roman"/>
          <w:b/>
          <w:sz w:val="24"/>
          <w:szCs w:val="24"/>
        </w:rPr>
      </w:pPr>
      <w:r w:rsidRPr="005776CC">
        <w:rPr>
          <w:rFonts w:ascii="Times New Roman" w:hAnsi="Times New Roman" w:cs="Times New Roman"/>
          <w:b/>
          <w:noProof/>
          <w:sz w:val="24"/>
          <w:szCs w:val="24"/>
        </w:rPr>
        <w:lastRenderedPageBreak/>
        <w:drawing>
          <wp:inline distT="0" distB="0" distL="0" distR="0">
            <wp:extent cx="4572000" cy="2743200"/>
            <wp:effectExtent l="19050" t="0" r="1905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158AD" w:rsidRDefault="00B158AD" w:rsidP="00D11848">
      <w:pPr>
        <w:autoSpaceDE w:val="0"/>
        <w:autoSpaceDN w:val="0"/>
        <w:adjustRightInd w:val="0"/>
        <w:spacing w:after="0" w:line="360" w:lineRule="auto"/>
        <w:jc w:val="both"/>
        <w:rPr>
          <w:rFonts w:ascii="Times New Roman" w:eastAsia="Times New Roman" w:hAnsi="Times New Roman" w:cs="Times New Roman"/>
          <w:b/>
          <w:sz w:val="23"/>
          <w:szCs w:val="23"/>
        </w:rPr>
      </w:pPr>
    </w:p>
    <w:p w:rsidR="00D11848" w:rsidRPr="005776CC" w:rsidRDefault="00FE199F" w:rsidP="00D11848">
      <w:pPr>
        <w:autoSpaceDE w:val="0"/>
        <w:autoSpaceDN w:val="0"/>
        <w:adjustRightInd w:val="0"/>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Fig. 3</w:t>
      </w:r>
      <w:r w:rsidR="00D11848" w:rsidRPr="005776CC">
        <w:rPr>
          <w:rFonts w:ascii="Times New Roman" w:eastAsia="Times New Roman" w:hAnsi="Times New Roman" w:cs="Times New Roman"/>
          <w:b/>
          <w:sz w:val="23"/>
          <w:szCs w:val="23"/>
        </w:rPr>
        <w:t>: Per Capita Emission of CO2</w:t>
      </w:r>
    </w:p>
    <w:p w:rsidR="00D11848" w:rsidRPr="005776CC" w:rsidRDefault="00D11848" w:rsidP="00D11848">
      <w:pPr>
        <w:autoSpaceDE w:val="0"/>
        <w:autoSpaceDN w:val="0"/>
        <w:adjustRightInd w:val="0"/>
        <w:spacing w:after="0" w:line="360" w:lineRule="auto"/>
        <w:jc w:val="both"/>
        <w:rPr>
          <w:rFonts w:ascii="Times New Roman" w:eastAsia="Times New Roman" w:hAnsi="Times New Roman" w:cs="Times New Roman"/>
          <w:sz w:val="23"/>
          <w:szCs w:val="23"/>
        </w:rPr>
      </w:pPr>
      <w:r w:rsidRPr="005776CC">
        <w:rPr>
          <w:rFonts w:ascii="Times New Roman" w:eastAsia="Times New Roman" w:hAnsi="Times New Roman" w:cs="Times New Roman"/>
          <w:noProof/>
          <w:sz w:val="23"/>
          <w:szCs w:val="23"/>
        </w:rPr>
        <w:drawing>
          <wp:inline distT="0" distB="0" distL="0" distR="0">
            <wp:extent cx="5753100" cy="2743200"/>
            <wp:effectExtent l="0" t="0" r="19050" b="1905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158AD" w:rsidRDefault="00B158AD" w:rsidP="00D11848">
      <w:pPr>
        <w:spacing w:after="0" w:line="240" w:lineRule="auto"/>
        <w:jc w:val="both"/>
        <w:rPr>
          <w:rFonts w:ascii="Times New Roman" w:hAnsi="Times New Roman" w:cs="Times New Roman"/>
          <w:b/>
          <w:sz w:val="24"/>
          <w:szCs w:val="24"/>
        </w:rPr>
      </w:pPr>
    </w:p>
    <w:p w:rsidR="00D11848" w:rsidRPr="005776CC" w:rsidRDefault="00B158AD" w:rsidP="00D118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type="column"/>
      </w:r>
      <w:r w:rsidR="00C74A33">
        <w:rPr>
          <w:rFonts w:ascii="Times New Roman" w:hAnsi="Times New Roman" w:cs="Times New Roman"/>
          <w:b/>
          <w:sz w:val="24"/>
          <w:szCs w:val="24"/>
        </w:rPr>
        <w:lastRenderedPageBreak/>
        <w:t xml:space="preserve">b) </w:t>
      </w:r>
      <w:r w:rsidR="00D11848" w:rsidRPr="005776CC">
        <w:rPr>
          <w:rFonts w:ascii="Times New Roman" w:hAnsi="Times New Roman" w:cs="Times New Roman"/>
          <w:b/>
          <w:sz w:val="24"/>
          <w:szCs w:val="24"/>
        </w:rPr>
        <w:t>Possible effects of climate change</w:t>
      </w:r>
      <w:r w:rsidR="00C74A33">
        <w:rPr>
          <w:rFonts w:ascii="Times New Roman" w:hAnsi="Times New Roman" w:cs="Times New Roman"/>
          <w:b/>
          <w:sz w:val="24"/>
          <w:szCs w:val="24"/>
        </w:rPr>
        <w:t>:</w:t>
      </w:r>
    </w:p>
    <w:p w:rsidR="00D11848" w:rsidRPr="005776CC" w:rsidRDefault="00D11848" w:rsidP="00D11848">
      <w:pPr>
        <w:spacing w:after="0" w:line="240" w:lineRule="auto"/>
        <w:jc w:val="both"/>
        <w:rPr>
          <w:rFonts w:ascii="Times New Roman" w:hAnsi="Times New Roman" w:cs="Times New Roman"/>
          <w:b/>
          <w:sz w:val="24"/>
          <w:szCs w:val="24"/>
        </w:rPr>
      </w:pPr>
    </w:p>
    <w:p w:rsidR="00D11848" w:rsidRPr="005776CC" w:rsidRDefault="00D11848" w:rsidP="00D11848">
      <w:pPr>
        <w:pStyle w:val="Default"/>
        <w:spacing w:line="360" w:lineRule="auto"/>
        <w:jc w:val="both"/>
      </w:pPr>
      <w:r w:rsidRPr="005776CC">
        <w:t>The earth has warmed significantly since reliable weather records began to be kept in the mid</w:t>
      </w:r>
      <w:r>
        <w:t>-nineteenth century (Fig.</w:t>
      </w:r>
      <w:r w:rsidR="00FE199F">
        <w:t xml:space="preserve"> 4</w:t>
      </w:r>
      <w:r w:rsidRPr="005776CC">
        <w:t>). In the past hundred years the global average temperature has risen about 1°C, or about 1.8°F. Fourteen of the fifteen warmest years in the modern meteorological r</w:t>
      </w:r>
      <w:r w:rsidR="004A4726">
        <w:t>ecord have occurred since 2000.</w:t>
      </w:r>
      <w:r w:rsidRPr="005776CC">
        <w:t xml:space="preserve"> Evidence indicates that the rate of warming, currently about 0.13°C per decade, is increasing. The Arctic and Antarctic regions have been warming at about double the global rate.</w:t>
      </w:r>
    </w:p>
    <w:p w:rsidR="00D11848" w:rsidRPr="005776CC" w:rsidRDefault="00D11848" w:rsidP="00D11848">
      <w:pPr>
        <w:pStyle w:val="Default"/>
        <w:spacing w:line="360" w:lineRule="auto"/>
        <w:jc w:val="both"/>
      </w:pPr>
    </w:p>
    <w:p w:rsidR="00D11848" w:rsidRPr="005776CC" w:rsidRDefault="00FE199F" w:rsidP="00D11848">
      <w:pPr>
        <w:pStyle w:val="Default"/>
      </w:pPr>
      <w:r>
        <w:rPr>
          <w:b/>
        </w:rPr>
        <w:t>Fig. 4</w:t>
      </w:r>
      <w:r w:rsidR="00D11848" w:rsidRPr="005776CC">
        <w:rPr>
          <w:b/>
        </w:rPr>
        <w:t xml:space="preserve">: </w:t>
      </w:r>
      <w:r w:rsidR="00D11848" w:rsidRPr="005776CC">
        <w:rPr>
          <w:b/>
          <w:bCs/>
        </w:rPr>
        <w:t xml:space="preserve">Global Annual Temperature Anomalies (°C), 1850–2015 </w:t>
      </w:r>
    </w:p>
    <w:p w:rsidR="00D11848" w:rsidRPr="005776CC" w:rsidRDefault="00D11848" w:rsidP="00D11848">
      <w:pPr>
        <w:pStyle w:val="Default"/>
        <w:jc w:val="both"/>
      </w:pPr>
    </w:p>
    <w:p w:rsidR="00D11848" w:rsidRPr="005776CC" w:rsidRDefault="00D11848" w:rsidP="00D11848">
      <w:pPr>
        <w:pStyle w:val="Default"/>
        <w:jc w:val="both"/>
      </w:pPr>
      <w:r w:rsidRPr="005776CC">
        <w:rPr>
          <w:noProof/>
          <w:lang w:val="en-IN" w:eastAsia="en-IN"/>
        </w:rPr>
        <w:drawing>
          <wp:inline distT="0" distB="0" distL="0" distR="0">
            <wp:extent cx="5943600" cy="2298065"/>
            <wp:effectExtent l="19050" t="0" r="19050" b="698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11848" w:rsidRPr="005776CC" w:rsidRDefault="00D11848" w:rsidP="00D11848">
      <w:pPr>
        <w:spacing w:after="0" w:line="240" w:lineRule="auto"/>
        <w:jc w:val="both"/>
        <w:rPr>
          <w:rFonts w:ascii="Times New Roman" w:hAnsi="Times New Roman" w:cs="Times New Roman"/>
          <w:b/>
          <w:sz w:val="24"/>
          <w:szCs w:val="24"/>
        </w:rPr>
      </w:pPr>
      <w:proofErr w:type="gramStart"/>
      <w:r>
        <w:rPr>
          <w:rFonts w:ascii="Times New Roman" w:eastAsia="Times New Roman" w:hAnsi="Times New Roman"/>
          <w:sz w:val="24"/>
          <w:szCs w:val="24"/>
        </w:rPr>
        <w:t>Harris</w:t>
      </w:r>
      <w:r w:rsidR="00C74A33">
        <w:rPr>
          <w:rFonts w:ascii="Times New Roman" w:eastAsia="Times New Roman" w:hAnsi="Times New Roman"/>
          <w:sz w:val="24"/>
          <w:szCs w:val="24"/>
        </w:rPr>
        <w:t xml:space="preserve"> &amp; Roach </w:t>
      </w:r>
      <w:r>
        <w:rPr>
          <w:rFonts w:ascii="Times New Roman" w:eastAsia="Times New Roman" w:hAnsi="Times New Roman"/>
          <w:sz w:val="24"/>
          <w:szCs w:val="24"/>
        </w:rPr>
        <w:t>(2015</w:t>
      </w:r>
      <w:r w:rsidRPr="005776CC">
        <w:rPr>
          <w:rFonts w:ascii="Times New Roman" w:eastAsia="Times New Roman" w:hAnsi="Times New Roman" w:cs="Times New Roman"/>
          <w:sz w:val="24"/>
          <w:szCs w:val="24"/>
        </w:rPr>
        <w:t>).</w:t>
      </w:r>
      <w:proofErr w:type="gramEnd"/>
    </w:p>
    <w:p w:rsidR="00D11848" w:rsidRPr="005776CC" w:rsidRDefault="00D11848" w:rsidP="00D11848">
      <w:pPr>
        <w:pStyle w:val="Default"/>
        <w:rPr>
          <w:b/>
        </w:rPr>
      </w:pPr>
    </w:p>
    <w:p w:rsidR="00D11848" w:rsidRPr="005776CC" w:rsidRDefault="00D11848" w:rsidP="00D11848">
      <w:pPr>
        <w:pStyle w:val="Default"/>
        <w:spacing w:line="360" w:lineRule="auto"/>
        <w:jc w:val="both"/>
      </w:pPr>
      <w:r w:rsidRPr="005776CC">
        <w:t>Based on a wide range of models with different assumptions about future emissions, the IPCC estimated in its 2014 report on ―Impacts, Adaptation, and Vulnerability that during the twenty-first century global average temperatures will rise within a range most likely to be between 1.5°C (3°F) and 4.8°C (8.6°F) above pre-industrial levels.</w:t>
      </w:r>
      <w:r w:rsidRPr="005776CC">
        <w:rPr>
          <w:sz w:val="16"/>
          <w:szCs w:val="16"/>
        </w:rPr>
        <w:t xml:space="preserve"> </w:t>
      </w:r>
      <w:r w:rsidRPr="005776CC">
        <w:t>The range of likely temperature i</w:t>
      </w:r>
      <w:r>
        <w:t>ncreases is shown in Fig. 4</w:t>
      </w:r>
      <w:r w:rsidRPr="005776CC">
        <w:t xml:space="preserve">, with a possible additional range of temperature changes up to 6°C (10.8°F). </w:t>
      </w:r>
    </w:p>
    <w:p w:rsidR="00D11848" w:rsidRPr="00064F04" w:rsidRDefault="00D11848" w:rsidP="004A4726">
      <w:pPr>
        <w:spacing w:after="0" w:line="360" w:lineRule="auto"/>
        <w:jc w:val="both"/>
        <w:rPr>
          <w:rFonts w:ascii="Times New Roman" w:hAnsi="Times New Roman" w:cs="Times New Roman"/>
          <w:sz w:val="24"/>
          <w:szCs w:val="24"/>
        </w:rPr>
      </w:pPr>
      <w:r w:rsidRPr="00064F04">
        <w:rPr>
          <w:rFonts w:ascii="Times New Roman" w:hAnsi="Times New Roman" w:cs="Times New Roman"/>
          <w:sz w:val="24"/>
          <w:szCs w:val="24"/>
        </w:rPr>
        <w:t xml:space="preserve">Different </w:t>
      </w:r>
      <w:r>
        <w:rPr>
          <w:rFonts w:ascii="Times New Roman" w:hAnsi="Times New Roman" w:cs="Times New Roman"/>
          <w:sz w:val="24"/>
          <w:szCs w:val="24"/>
        </w:rPr>
        <w:t xml:space="preserve">possible </w:t>
      </w:r>
      <w:r w:rsidRPr="00064F04">
        <w:rPr>
          <w:rFonts w:ascii="Times New Roman" w:hAnsi="Times New Roman" w:cs="Times New Roman"/>
          <w:sz w:val="24"/>
          <w:szCs w:val="24"/>
        </w:rPr>
        <w:t>types of impact</w:t>
      </w:r>
      <w:r>
        <w:rPr>
          <w:rFonts w:ascii="Times New Roman" w:hAnsi="Times New Roman" w:cs="Times New Roman"/>
          <w:sz w:val="24"/>
          <w:szCs w:val="24"/>
        </w:rPr>
        <w:t xml:space="preserve">s of climate change for rise </w:t>
      </w:r>
      <w:proofErr w:type="gramStart"/>
      <w:r>
        <w:rPr>
          <w:rFonts w:ascii="Times New Roman" w:hAnsi="Times New Roman" w:cs="Times New Roman"/>
          <w:sz w:val="24"/>
          <w:szCs w:val="24"/>
        </w:rPr>
        <w:t xml:space="preserve">in </w:t>
      </w:r>
      <w:r w:rsidRPr="00064F04">
        <w:rPr>
          <w:rFonts w:ascii="Times New Roman" w:hAnsi="Times New Roman" w:cs="Times New Roman"/>
          <w:sz w:val="24"/>
          <w:szCs w:val="24"/>
        </w:rPr>
        <w:t xml:space="preserve"> temperature</w:t>
      </w:r>
      <w:proofErr w:type="gramEnd"/>
      <w:r w:rsidRPr="00064F04">
        <w:rPr>
          <w:rFonts w:ascii="Times New Roman" w:hAnsi="Times New Roman" w:cs="Times New Roman"/>
          <w:sz w:val="24"/>
          <w:szCs w:val="24"/>
        </w:rPr>
        <w:t xml:space="preserve"> </w:t>
      </w:r>
      <w:r>
        <w:rPr>
          <w:rFonts w:ascii="Times New Roman" w:hAnsi="Times New Roman" w:cs="Times New Roman"/>
          <w:sz w:val="24"/>
          <w:szCs w:val="24"/>
        </w:rPr>
        <w:t xml:space="preserve"> r</w:t>
      </w:r>
      <w:r w:rsidRPr="00064F04">
        <w:rPr>
          <w:rFonts w:ascii="Times New Roman" w:hAnsi="Times New Roman" w:cs="Times New Roman"/>
          <w:sz w:val="24"/>
          <w:szCs w:val="24"/>
        </w:rPr>
        <w:t>elative to pre- industrial temperatures</w:t>
      </w:r>
      <w:r>
        <w:rPr>
          <w:rFonts w:ascii="Times New Roman" w:hAnsi="Times New Roman" w:cs="Times New Roman"/>
          <w:sz w:val="24"/>
          <w:szCs w:val="24"/>
        </w:rPr>
        <w:t xml:space="preserve"> have been presented in Table 1.</w:t>
      </w:r>
    </w:p>
    <w:p w:rsidR="00D11848" w:rsidRPr="005776CC" w:rsidRDefault="00B158AD" w:rsidP="00D118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type="column"/>
      </w:r>
      <w:r w:rsidR="00D11848" w:rsidRPr="005776CC">
        <w:rPr>
          <w:rFonts w:ascii="Times New Roman" w:hAnsi="Times New Roman" w:cs="Times New Roman"/>
          <w:b/>
          <w:sz w:val="24"/>
          <w:szCs w:val="24"/>
        </w:rPr>
        <w:lastRenderedPageBreak/>
        <w:t xml:space="preserve">Table 1: </w:t>
      </w:r>
      <w:r w:rsidR="00D11848">
        <w:rPr>
          <w:rFonts w:ascii="Times New Roman" w:hAnsi="Times New Roman" w:cs="Times New Roman"/>
          <w:b/>
          <w:sz w:val="24"/>
          <w:szCs w:val="24"/>
        </w:rPr>
        <w:t>Possible Effects of Climate Change</w:t>
      </w:r>
    </w:p>
    <w:tbl>
      <w:tblPr>
        <w:tblStyle w:val="TableGrid"/>
        <w:tblW w:w="0" w:type="auto"/>
        <w:tblLook w:val="04A0"/>
      </w:tblPr>
      <w:tblGrid>
        <w:gridCol w:w="3067"/>
        <w:gridCol w:w="3090"/>
        <w:gridCol w:w="3085"/>
      </w:tblGrid>
      <w:tr w:rsidR="00D11848" w:rsidRPr="005776CC" w:rsidTr="00B76D6A">
        <w:tc>
          <w:tcPr>
            <w:tcW w:w="3192"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Type of impact</w:t>
            </w:r>
          </w:p>
        </w:tc>
        <w:tc>
          <w:tcPr>
            <w:tcW w:w="3192"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2</w:t>
            </w:r>
            <w:r w:rsidRPr="005776CC">
              <w:rPr>
                <w:rFonts w:ascii="Times New Roman" w:hAnsi="Times New Roman" w:cs="Times New Roman"/>
                <w:sz w:val="24"/>
                <w:szCs w:val="24"/>
                <w:vertAlign w:val="superscript"/>
              </w:rPr>
              <w:t>0</w:t>
            </w:r>
            <w:r w:rsidRPr="005776CC">
              <w:rPr>
                <w:rFonts w:ascii="Times New Roman" w:hAnsi="Times New Roman" w:cs="Times New Roman"/>
                <w:sz w:val="24"/>
                <w:szCs w:val="24"/>
              </w:rPr>
              <w:t>C</w:t>
            </w:r>
          </w:p>
        </w:tc>
        <w:tc>
          <w:tcPr>
            <w:tcW w:w="3192"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4</w:t>
            </w:r>
            <w:r w:rsidRPr="005776CC">
              <w:rPr>
                <w:rFonts w:ascii="Times New Roman" w:hAnsi="Times New Roman" w:cs="Times New Roman"/>
                <w:sz w:val="24"/>
                <w:szCs w:val="24"/>
                <w:vertAlign w:val="superscript"/>
              </w:rPr>
              <w:t>0</w:t>
            </w:r>
            <w:r w:rsidRPr="005776CC">
              <w:rPr>
                <w:rFonts w:ascii="Times New Roman" w:hAnsi="Times New Roman" w:cs="Times New Roman"/>
                <w:sz w:val="24"/>
                <w:szCs w:val="24"/>
              </w:rPr>
              <w:t>C</w:t>
            </w:r>
          </w:p>
        </w:tc>
      </w:tr>
      <w:tr w:rsidR="00D11848" w:rsidRPr="005776CC" w:rsidTr="00B76D6A">
        <w:tc>
          <w:tcPr>
            <w:tcW w:w="3192"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Freshwater Supplies</w:t>
            </w:r>
          </w:p>
        </w:tc>
        <w:tc>
          <w:tcPr>
            <w:tcW w:w="3192"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Potential water supply decrease of 20-30% in some regions ( Southern Africa and Mediterranean)</w:t>
            </w:r>
          </w:p>
        </w:tc>
        <w:tc>
          <w:tcPr>
            <w:tcW w:w="3192"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Potential water supply decrease of 30-50% in Southern Africa and Mediterranean</w:t>
            </w:r>
          </w:p>
        </w:tc>
      </w:tr>
      <w:tr w:rsidR="00D11848" w:rsidRPr="005776CC" w:rsidTr="00B76D6A">
        <w:tc>
          <w:tcPr>
            <w:tcW w:w="3192"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Food and agriculture</w:t>
            </w:r>
          </w:p>
        </w:tc>
        <w:tc>
          <w:tcPr>
            <w:tcW w:w="3192"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Declines in crop yields in tropical regions (5-10% in Africa)</w:t>
            </w:r>
          </w:p>
        </w:tc>
        <w:tc>
          <w:tcPr>
            <w:tcW w:w="3192"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Yields decline by 15-35% in Africa some entire region out of agriculture production</w:t>
            </w:r>
          </w:p>
        </w:tc>
      </w:tr>
      <w:tr w:rsidR="00D11848" w:rsidRPr="005776CC" w:rsidTr="00B76D6A">
        <w:tc>
          <w:tcPr>
            <w:tcW w:w="3192"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Human health</w:t>
            </w:r>
          </w:p>
        </w:tc>
        <w:tc>
          <w:tcPr>
            <w:tcW w:w="3192"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 xml:space="preserve">40-60 million more exposed to malaria in Africa </w:t>
            </w:r>
          </w:p>
        </w:tc>
        <w:tc>
          <w:tcPr>
            <w:tcW w:w="3192"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Up to 80 million more people exposed to malaria in Africa</w:t>
            </w:r>
          </w:p>
        </w:tc>
      </w:tr>
      <w:tr w:rsidR="00D11848" w:rsidRPr="005776CC" w:rsidTr="00B76D6A">
        <w:tc>
          <w:tcPr>
            <w:tcW w:w="3192"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Coastal Areas</w:t>
            </w:r>
          </w:p>
        </w:tc>
        <w:tc>
          <w:tcPr>
            <w:tcW w:w="3192"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Up to 10 million more people exposed to coastal flooding</w:t>
            </w:r>
          </w:p>
        </w:tc>
        <w:tc>
          <w:tcPr>
            <w:tcW w:w="3192"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Up to 300 million more people exposed to coastal flooding</w:t>
            </w:r>
          </w:p>
        </w:tc>
      </w:tr>
      <w:tr w:rsidR="00D11848" w:rsidRPr="005776CC" w:rsidTr="00B76D6A">
        <w:tc>
          <w:tcPr>
            <w:tcW w:w="3192"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 xml:space="preserve">Ecosystems </w:t>
            </w:r>
          </w:p>
        </w:tc>
        <w:tc>
          <w:tcPr>
            <w:tcW w:w="3192"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15-40% of species potentially face extinction</w:t>
            </w:r>
          </w:p>
        </w:tc>
        <w:tc>
          <w:tcPr>
            <w:tcW w:w="3192"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Loss of half of Arctic tundra Widespread loss of coral reefs</w:t>
            </w:r>
          </w:p>
        </w:tc>
      </w:tr>
    </w:tbl>
    <w:p w:rsidR="00D11848" w:rsidRPr="005776CC" w:rsidRDefault="00D11848" w:rsidP="00D11848">
      <w:pPr>
        <w:spacing w:line="360" w:lineRule="auto"/>
        <w:jc w:val="both"/>
        <w:rPr>
          <w:rFonts w:ascii="Times New Roman" w:hAnsi="Times New Roman" w:cs="Times New Roman"/>
          <w:bCs/>
          <w:sz w:val="24"/>
          <w:szCs w:val="24"/>
        </w:rPr>
      </w:pPr>
      <w:r w:rsidRPr="005776CC">
        <w:rPr>
          <w:rFonts w:ascii="Times New Roman" w:hAnsi="Times New Roman" w:cs="Times New Roman"/>
          <w:bCs/>
          <w:sz w:val="24"/>
          <w:szCs w:val="24"/>
        </w:rPr>
        <w:t xml:space="preserve">Source: </w:t>
      </w:r>
      <w:r>
        <w:rPr>
          <w:rFonts w:ascii="Times New Roman" w:eastAsia="Times New Roman" w:hAnsi="Times New Roman" w:cs="Times New Roman"/>
          <w:sz w:val="24"/>
          <w:szCs w:val="24"/>
        </w:rPr>
        <w:t>Harris, J. M., &amp; Roach, B. (2015)</w:t>
      </w:r>
    </w:p>
    <w:p w:rsidR="00C53867" w:rsidRPr="00D350FF" w:rsidRDefault="00D350FF" w:rsidP="00D11848">
      <w:pPr>
        <w:spacing w:after="0" w:line="360" w:lineRule="auto"/>
        <w:jc w:val="both"/>
        <w:rPr>
          <w:rFonts w:ascii="Times New Roman" w:hAnsi="Times New Roman" w:cs="Times New Roman"/>
          <w:b/>
          <w:sz w:val="24"/>
          <w:szCs w:val="24"/>
        </w:rPr>
      </w:pPr>
      <w:r w:rsidRPr="00D350FF">
        <w:rPr>
          <w:rFonts w:ascii="Times New Roman" w:hAnsi="Times New Roman" w:cs="Times New Roman"/>
          <w:b/>
          <w:sz w:val="24"/>
          <w:szCs w:val="24"/>
        </w:rPr>
        <w:t>Damages from climate change</w:t>
      </w:r>
    </w:p>
    <w:p w:rsidR="00D350FF" w:rsidRPr="00D350FF" w:rsidRDefault="00C53867" w:rsidP="00D350FF">
      <w:pPr>
        <w:autoSpaceDE w:val="0"/>
        <w:autoSpaceDN w:val="0"/>
        <w:adjustRightInd w:val="0"/>
        <w:spacing w:after="0" w:line="360" w:lineRule="auto"/>
        <w:jc w:val="both"/>
        <w:rPr>
          <w:rFonts w:ascii="Times New Roman" w:eastAsia="TimesNewRomanPSMT" w:hAnsi="Times New Roman" w:cs="Times New Roman"/>
          <w:sz w:val="24"/>
          <w:szCs w:val="24"/>
        </w:rPr>
      </w:pPr>
      <w:r w:rsidRPr="00D350FF">
        <w:rPr>
          <w:rFonts w:ascii="Times New Roman" w:eastAsia="TimesNewRomanPSMT" w:hAnsi="Times New Roman" w:cs="Times New Roman"/>
          <w:sz w:val="24"/>
          <w:szCs w:val="24"/>
        </w:rPr>
        <w:t xml:space="preserve">A major economic analysis in 2006, funded by the British government, concluded that much more dramatic action was justified. The Stern Review of the Economics of Climate Change, written by former World Bank economist Nicholas Stern, estimated a social cost of carbon of $85 per ton of CO2. One of the differences between this and most previous analyses was the use of a lower </w:t>
      </w:r>
      <w:r w:rsidRPr="00D350FF">
        <w:rPr>
          <w:rFonts w:ascii="Times New Roman" w:eastAsia="TimesNewRomanPSMT" w:hAnsi="Times New Roman" w:cs="Times New Roman"/>
          <w:bCs/>
          <w:sz w:val="24"/>
          <w:szCs w:val="24"/>
        </w:rPr>
        <w:t>social</w:t>
      </w:r>
      <w:r w:rsidRPr="00D350FF">
        <w:rPr>
          <w:rFonts w:ascii="Times New Roman" w:eastAsia="TimesNewRomanPSMT" w:hAnsi="Times New Roman" w:cs="Times New Roman"/>
          <w:sz w:val="24"/>
          <w:szCs w:val="24"/>
        </w:rPr>
        <w:t xml:space="preserve"> </w:t>
      </w:r>
      <w:r w:rsidR="00D350FF" w:rsidRPr="00D350FF">
        <w:rPr>
          <w:rFonts w:ascii="Times New Roman" w:hAnsi="Times New Roman" w:cs="Times New Roman"/>
          <w:bCs/>
          <w:sz w:val="24"/>
          <w:szCs w:val="24"/>
        </w:rPr>
        <w:t xml:space="preserve">discount rate </w:t>
      </w:r>
      <w:proofErr w:type="gramStart"/>
      <w:r w:rsidR="00D350FF" w:rsidRPr="00D350FF">
        <w:rPr>
          <w:rFonts w:ascii="Times New Roman" w:hAnsi="Times New Roman" w:cs="Times New Roman"/>
          <w:bCs/>
          <w:sz w:val="24"/>
          <w:szCs w:val="24"/>
        </w:rPr>
        <w:t>( 1.4</w:t>
      </w:r>
      <w:proofErr w:type="gramEnd"/>
      <w:r w:rsidR="00D350FF" w:rsidRPr="00D350FF">
        <w:rPr>
          <w:rFonts w:ascii="Times New Roman" w:hAnsi="Times New Roman" w:cs="Times New Roman"/>
          <w:bCs/>
          <w:sz w:val="24"/>
          <w:szCs w:val="24"/>
        </w:rPr>
        <w:t>%)</w:t>
      </w:r>
      <w:r w:rsidR="00D350FF">
        <w:rPr>
          <w:rFonts w:ascii="Times New Roman" w:hAnsi="Times New Roman" w:cs="Times New Roman"/>
          <w:b/>
          <w:bCs/>
          <w:sz w:val="24"/>
          <w:szCs w:val="24"/>
        </w:rPr>
        <w:t xml:space="preserve"> </w:t>
      </w:r>
      <w:r w:rsidR="00D350FF" w:rsidRPr="00D350FF">
        <w:rPr>
          <w:rFonts w:ascii="Times New Roman" w:eastAsia="TimesNewRomanPSMT" w:hAnsi="Times New Roman" w:cs="Times New Roman"/>
          <w:sz w:val="24"/>
          <w:szCs w:val="24"/>
        </w:rPr>
        <w:t>to weigh future costs and benefits.</w:t>
      </w:r>
      <w:r w:rsidR="00D350FF">
        <w:rPr>
          <w:rFonts w:ascii="Times New Roman" w:eastAsia="TimesNewRomanPSMT" w:hAnsi="Times New Roman" w:cs="Times New Roman"/>
          <w:sz w:val="24"/>
          <w:szCs w:val="24"/>
        </w:rPr>
        <w:t xml:space="preserve"> The Stern </w:t>
      </w:r>
      <w:r w:rsidR="00D350FF" w:rsidRPr="00D350FF">
        <w:rPr>
          <w:rFonts w:ascii="Times New Roman" w:eastAsia="TimesNewRomanPSMT" w:hAnsi="Times New Roman" w:cs="Times New Roman"/>
          <w:sz w:val="24"/>
          <w:szCs w:val="24"/>
        </w:rPr>
        <w:t>Review estimated the damages from climate change in the twenty-first century to be</w:t>
      </w:r>
      <w:r w:rsidR="00D350FF">
        <w:rPr>
          <w:rFonts w:ascii="Times New Roman" w:eastAsia="TimesNewRomanPSMT" w:hAnsi="Times New Roman" w:cs="Times New Roman"/>
          <w:sz w:val="24"/>
          <w:szCs w:val="24"/>
        </w:rPr>
        <w:t xml:space="preserve"> </w:t>
      </w:r>
      <w:r w:rsidR="00D350FF" w:rsidRPr="00D350FF">
        <w:rPr>
          <w:rFonts w:ascii="Times New Roman" w:eastAsia="TimesNewRomanPSMT" w:hAnsi="Times New Roman" w:cs="Times New Roman"/>
          <w:sz w:val="24"/>
          <w:szCs w:val="24"/>
        </w:rPr>
        <w:t>between 5 percent and 20 percent of global GDP, while the most severe effects of climate change</w:t>
      </w:r>
      <w:r w:rsidR="00D350FF">
        <w:rPr>
          <w:rFonts w:ascii="Times New Roman" w:eastAsia="TimesNewRomanPSMT" w:hAnsi="Times New Roman" w:cs="Times New Roman"/>
          <w:sz w:val="24"/>
          <w:szCs w:val="24"/>
        </w:rPr>
        <w:t xml:space="preserve"> </w:t>
      </w:r>
      <w:r w:rsidR="00D350FF" w:rsidRPr="00D350FF">
        <w:rPr>
          <w:rFonts w:ascii="Times New Roman" w:eastAsia="TimesNewRomanPSMT" w:hAnsi="Times New Roman" w:cs="Times New Roman"/>
          <w:sz w:val="24"/>
          <w:szCs w:val="24"/>
        </w:rPr>
        <w:t xml:space="preserve">could be avoided at a cost of approximately 1 percent of GDP. Thus, the </w:t>
      </w:r>
      <w:r w:rsidR="00D350FF">
        <w:rPr>
          <w:rFonts w:ascii="Times New Roman" w:eastAsia="TimesNewRomanPSMT" w:hAnsi="Times New Roman" w:cs="Times New Roman"/>
          <w:sz w:val="24"/>
          <w:szCs w:val="24"/>
        </w:rPr>
        <w:t xml:space="preserve">Stern </w:t>
      </w:r>
      <w:r w:rsidR="00D350FF" w:rsidRPr="00D350FF">
        <w:rPr>
          <w:rFonts w:ascii="Times New Roman" w:eastAsia="TimesNewRomanPSMT" w:hAnsi="Times New Roman" w:cs="Times New Roman"/>
          <w:sz w:val="24"/>
          <w:szCs w:val="24"/>
        </w:rPr>
        <w:t>report concludes that the</w:t>
      </w:r>
      <w:r w:rsidR="00D350FF">
        <w:rPr>
          <w:rFonts w:ascii="Times New Roman" w:eastAsia="TimesNewRomanPSMT" w:hAnsi="Times New Roman" w:cs="Times New Roman"/>
          <w:sz w:val="24"/>
          <w:szCs w:val="24"/>
        </w:rPr>
        <w:t xml:space="preserve"> </w:t>
      </w:r>
      <w:r w:rsidR="00D350FF" w:rsidRPr="00D350FF">
        <w:rPr>
          <w:rFonts w:ascii="Times New Roman" w:eastAsia="TimesNewRomanPSMT" w:hAnsi="Times New Roman" w:cs="Times New Roman"/>
          <w:sz w:val="24"/>
          <w:szCs w:val="24"/>
        </w:rPr>
        <w:t>benefits of immediate action to minimize climate change significantly exceed the costs, and that</w:t>
      </w:r>
      <w:r w:rsidR="00D350FF">
        <w:rPr>
          <w:rFonts w:ascii="Times New Roman" w:eastAsia="TimesNewRomanPSMT" w:hAnsi="Times New Roman" w:cs="Times New Roman"/>
          <w:sz w:val="24"/>
          <w:szCs w:val="24"/>
        </w:rPr>
        <w:t xml:space="preserve"> </w:t>
      </w:r>
      <w:r w:rsidR="00D350FF" w:rsidRPr="00D350FF">
        <w:rPr>
          <w:rFonts w:ascii="Times New Roman" w:eastAsia="TimesNewRomanPSMT" w:hAnsi="Times New Roman" w:cs="Times New Roman"/>
          <w:sz w:val="24"/>
          <w:szCs w:val="24"/>
        </w:rPr>
        <w:t>ignoring climate change will eventually damage economic growth.</w:t>
      </w:r>
    </w:p>
    <w:p w:rsidR="00C53867" w:rsidRDefault="00C53867" w:rsidP="00C53867">
      <w:pPr>
        <w:autoSpaceDE w:val="0"/>
        <w:autoSpaceDN w:val="0"/>
        <w:adjustRightInd w:val="0"/>
        <w:spacing w:after="0" w:line="360" w:lineRule="auto"/>
        <w:rPr>
          <w:rFonts w:ascii="Times New Roman" w:eastAsia="TimesNewRomanPSMT" w:hAnsi="Times New Roman" w:cs="Times New Roman"/>
          <w:sz w:val="24"/>
          <w:szCs w:val="24"/>
        </w:rPr>
      </w:pPr>
    </w:p>
    <w:p w:rsidR="00D11848" w:rsidRPr="005776CC" w:rsidRDefault="00D11848" w:rsidP="00D11848">
      <w:pPr>
        <w:spacing w:after="0" w:line="240" w:lineRule="auto"/>
        <w:jc w:val="both"/>
        <w:rPr>
          <w:rFonts w:ascii="Times New Roman" w:hAnsi="Times New Roman" w:cs="Times New Roman"/>
          <w:sz w:val="24"/>
          <w:szCs w:val="24"/>
        </w:rPr>
      </w:pPr>
    </w:p>
    <w:p w:rsidR="00D11848" w:rsidRPr="005776CC" w:rsidRDefault="00FE199F" w:rsidP="00D118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 </w:t>
      </w:r>
      <w:r w:rsidR="00D11848" w:rsidRPr="005776CC">
        <w:rPr>
          <w:rFonts w:ascii="Times New Roman" w:hAnsi="Times New Roman" w:cs="Times New Roman"/>
          <w:b/>
          <w:sz w:val="24"/>
          <w:szCs w:val="24"/>
        </w:rPr>
        <w:t>Climate change and inequality</w:t>
      </w:r>
      <w:r w:rsidR="00C74A33">
        <w:rPr>
          <w:rFonts w:ascii="Times New Roman" w:hAnsi="Times New Roman" w:cs="Times New Roman"/>
          <w:b/>
          <w:sz w:val="24"/>
          <w:szCs w:val="24"/>
        </w:rPr>
        <w:t>:</w:t>
      </w:r>
    </w:p>
    <w:p w:rsidR="00D11848" w:rsidRPr="005776CC" w:rsidRDefault="00D11848" w:rsidP="00D11848">
      <w:pPr>
        <w:spacing w:after="0" w:line="360" w:lineRule="auto"/>
        <w:jc w:val="both"/>
        <w:rPr>
          <w:rFonts w:ascii="Times New Roman" w:hAnsi="Times New Roman" w:cs="Times New Roman"/>
          <w:sz w:val="24"/>
          <w:szCs w:val="24"/>
        </w:rPr>
      </w:pPr>
      <w:r w:rsidRPr="005776CC">
        <w:rPr>
          <w:rFonts w:ascii="Times New Roman" w:hAnsi="Times New Roman" w:cs="Times New Roman"/>
          <w:sz w:val="24"/>
          <w:szCs w:val="24"/>
        </w:rPr>
        <w:t xml:space="preserve">The effect of climate change will fall most heavily upon the poor of the world. Regions such as Africa could face severely compromised food production and water shortages, while coastal areas in south, East, and Southeast Asia will be at great risk of flooding. Tropical Latin America will sea damage to forests and agricultural areas due to drier climate, while in </w:t>
      </w:r>
      <w:proofErr w:type="gramStart"/>
      <w:r w:rsidRPr="005776CC">
        <w:rPr>
          <w:rFonts w:ascii="Times New Roman" w:hAnsi="Times New Roman" w:cs="Times New Roman"/>
          <w:sz w:val="24"/>
          <w:szCs w:val="24"/>
        </w:rPr>
        <w:t>south</w:t>
      </w:r>
      <w:proofErr w:type="gramEnd"/>
      <w:r w:rsidRPr="005776CC">
        <w:rPr>
          <w:rFonts w:ascii="Times New Roman" w:hAnsi="Times New Roman" w:cs="Times New Roman"/>
          <w:sz w:val="24"/>
          <w:szCs w:val="24"/>
        </w:rPr>
        <w:t xml:space="preserve"> America changes in precipitation patterns and the disappearance of glaciers will significantly affect water availability. While the richer countries may have the economic </w:t>
      </w:r>
      <w:r w:rsidRPr="005776CC">
        <w:rPr>
          <w:rFonts w:ascii="Times New Roman" w:hAnsi="Times New Roman" w:cs="Times New Roman"/>
          <w:sz w:val="24"/>
          <w:szCs w:val="24"/>
        </w:rPr>
        <w:lastRenderedPageBreak/>
        <w:t xml:space="preserve">resources to adapt </w:t>
      </w:r>
      <w:proofErr w:type="gramStart"/>
      <w:r w:rsidRPr="005776CC">
        <w:rPr>
          <w:rFonts w:ascii="Times New Roman" w:hAnsi="Times New Roman" w:cs="Times New Roman"/>
          <w:sz w:val="24"/>
          <w:szCs w:val="24"/>
        </w:rPr>
        <w:t>to</w:t>
      </w:r>
      <w:proofErr w:type="gramEnd"/>
      <w:r w:rsidRPr="005776CC">
        <w:rPr>
          <w:rFonts w:ascii="Times New Roman" w:hAnsi="Times New Roman" w:cs="Times New Roman"/>
          <w:sz w:val="24"/>
          <w:szCs w:val="24"/>
        </w:rPr>
        <w:t xml:space="preserve"> many of the effects of climate change, poorer countries will be unable to implement preventive measures, especially those that rely on the newest technologies.</w:t>
      </w:r>
    </w:p>
    <w:p w:rsidR="00D11848" w:rsidRPr="005776CC" w:rsidRDefault="00D11848" w:rsidP="00D11848">
      <w:pPr>
        <w:spacing w:after="0" w:line="360" w:lineRule="auto"/>
        <w:jc w:val="both"/>
        <w:rPr>
          <w:rFonts w:ascii="Times New Roman" w:hAnsi="Times New Roman" w:cs="Times New Roman"/>
          <w:sz w:val="24"/>
          <w:szCs w:val="24"/>
        </w:rPr>
      </w:pPr>
      <w:r w:rsidRPr="005776CC">
        <w:rPr>
          <w:rFonts w:ascii="Times New Roman" w:hAnsi="Times New Roman" w:cs="Times New Roman"/>
          <w:sz w:val="24"/>
          <w:szCs w:val="24"/>
        </w:rPr>
        <w:t>Recent studies have used geographically distributed impacts models to estimate the impact of climate change across the global domain. As Table 2 indicates, the number of coastal flood victims and population at risk of hunger by 2080 will be relatively larger in Africa, South America, and Asia, where most developing countries are located.</w:t>
      </w:r>
    </w:p>
    <w:p w:rsidR="00D11848" w:rsidRPr="005776CC" w:rsidRDefault="00D11848" w:rsidP="00D11848">
      <w:pPr>
        <w:spacing w:after="0" w:line="240" w:lineRule="auto"/>
        <w:jc w:val="both"/>
        <w:rPr>
          <w:rFonts w:ascii="Times New Roman" w:hAnsi="Times New Roman" w:cs="Times New Roman"/>
          <w:b/>
          <w:sz w:val="24"/>
          <w:szCs w:val="24"/>
        </w:rPr>
      </w:pPr>
      <w:r w:rsidRPr="005776CC">
        <w:rPr>
          <w:rFonts w:ascii="Times New Roman" w:hAnsi="Times New Roman" w:cs="Times New Roman"/>
          <w:b/>
          <w:sz w:val="24"/>
          <w:szCs w:val="24"/>
        </w:rPr>
        <w:t>Table 2: Regional-Scale Impacts of climate change by 2080 (millions of people)</w:t>
      </w:r>
    </w:p>
    <w:tbl>
      <w:tblPr>
        <w:tblStyle w:val="TableGrid"/>
        <w:tblW w:w="0" w:type="auto"/>
        <w:tblLook w:val="04A0"/>
      </w:tblPr>
      <w:tblGrid>
        <w:gridCol w:w="2302"/>
        <w:gridCol w:w="2318"/>
        <w:gridCol w:w="2300"/>
        <w:gridCol w:w="2322"/>
      </w:tblGrid>
      <w:tr w:rsidR="00D11848" w:rsidRPr="005776CC" w:rsidTr="00B76D6A">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Region</w:t>
            </w:r>
          </w:p>
        </w:tc>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Population living in watersheds with an increase in water resources stress</w:t>
            </w:r>
          </w:p>
        </w:tc>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Increase in average annual number of coastal flood victims</w:t>
            </w:r>
          </w:p>
        </w:tc>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Additional population at risk of hunger (figures in parentheses assume maximum CO</w:t>
            </w:r>
            <w:r w:rsidRPr="005776CC">
              <w:rPr>
                <w:rFonts w:ascii="Times New Roman" w:hAnsi="Times New Roman" w:cs="Times New Roman"/>
                <w:sz w:val="24"/>
                <w:szCs w:val="24"/>
                <w:vertAlign w:val="subscript"/>
              </w:rPr>
              <w:t>2</w:t>
            </w:r>
            <w:r w:rsidRPr="005776CC">
              <w:rPr>
                <w:rFonts w:ascii="Times New Roman" w:hAnsi="Times New Roman" w:cs="Times New Roman"/>
                <w:sz w:val="24"/>
                <w:szCs w:val="24"/>
              </w:rPr>
              <w:t xml:space="preserve"> enrichment effect)</w:t>
            </w:r>
          </w:p>
        </w:tc>
      </w:tr>
      <w:tr w:rsidR="00D11848" w:rsidRPr="005776CC" w:rsidTr="00B76D6A">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Europe</w:t>
            </w:r>
          </w:p>
        </w:tc>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382-493</w:t>
            </w:r>
          </w:p>
        </w:tc>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0.3</w:t>
            </w:r>
          </w:p>
        </w:tc>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0</w:t>
            </w:r>
          </w:p>
        </w:tc>
      </w:tr>
      <w:tr w:rsidR="00D11848" w:rsidRPr="005776CC" w:rsidTr="00B76D6A">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Asia</w:t>
            </w:r>
          </w:p>
        </w:tc>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892-1197</w:t>
            </w:r>
          </w:p>
        </w:tc>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14.7</w:t>
            </w:r>
          </w:p>
        </w:tc>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266(-21)</w:t>
            </w:r>
          </w:p>
        </w:tc>
      </w:tr>
      <w:tr w:rsidR="00D11848" w:rsidRPr="005776CC" w:rsidTr="00B76D6A">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North America</w:t>
            </w:r>
          </w:p>
        </w:tc>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110-145</w:t>
            </w:r>
          </w:p>
        </w:tc>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0.1</w:t>
            </w:r>
          </w:p>
        </w:tc>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0</w:t>
            </w:r>
          </w:p>
        </w:tc>
      </w:tr>
      <w:tr w:rsidR="00D11848" w:rsidRPr="005776CC" w:rsidTr="00B76D6A">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South America</w:t>
            </w:r>
          </w:p>
        </w:tc>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430-469</w:t>
            </w:r>
          </w:p>
        </w:tc>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0.4</w:t>
            </w:r>
          </w:p>
        </w:tc>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85 (-4)</w:t>
            </w:r>
          </w:p>
        </w:tc>
      </w:tr>
      <w:tr w:rsidR="00D11848" w:rsidRPr="005776CC" w:rsidTr="00B76D6A">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Africa</w:t>
            </w:r>
          </w:p>
        </w:tc>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691-909</w:t>
            </w:r>
          </w:p>
        </w:tc>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12.8</w:t>
            </w:r>
          </w:p>
        </w:tc>
        <w:tc>
          <w:tcPr>
            <w:tcW w:w="2394"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200 (-2)</w:t>
            </w:r>
          </w:p>
        </w:tc>
      </w:tr>
    </w:tbl>
    <w:p w:rsidR="00D11848" w:rsidRPr="005776CC" w:rsidRDefault="00D11848" w:rsidP="00D11848">
      <w:pPr>
        <w:spacing w:after="0" w:line="240" w:lineRule="auto"/>
        <w:jc w:val="both"/>
        <w:rPr>
          <w:rFonts w:ascii="Times New Roman" w:eastAsia="Times New Roman" w:hAnsi="Times New Roman" w:cs="Times New Roman"/>
          <w:sz w:val="24"/>
          <w:szCs w:val="24"/>
        </w:rPr>
      </w:pPr>
      <w:r w:rsidRPr="005776CC">
        <w:rPr>
          <w:rFonts w:ascii="Times New Roman" w:hAnsi="Times New Roman" w:cs="Times New Roman"/>
          <w:sz w:val="24"/>
          <w:szCs w:val="24"/>
        </w:rPr>
        <w:t xml:space="preserve">Source: </w:t>
      </w:r>
      <w:r>
        <w:rPr>
          <w:rFonts w:ascii="Times New Roman" w:eastAsia="Times New Roman" w:hAnsi="Times New Roman" w:cs="Times New Roman"/>
          <w:sz w:val="24"/>
          <w:szCs w:val="24"/>
        </w:rPr>
        <w:t>Harris, J. M., &amp; Roach, B. (2015</w:t>
      </w:r>
      <w:r w:rsidRPr="005776CC">
        <w:rPr>
          <w:rFonts w:ascii="Times New Roman" w:eastAsia="Times New Roman" w:hAnsi="Times New Roman" w:cs="Times New Roman"/>
          <w:sz w:val="24"/>
          <w:szCs w:val="24"/>
        </w:rPr>
        <w:t xml:space="preserve">). </w:t>
      </w:r>
    </w:p>
    <w:p w:rsidR="00D11848" w:rsidRDefault="00D11848" w:rsidP="00FF1E49">
      <w:pPr>
        <w:spacing w:after="0" w:line="360" w:lineRule="auto"/>
        <w:jc w:val="both"/>
        <w:rPr>
          <w:rFonts w:ascii="Times New Roman" w:eastAsia="Times New Roman" w:hAnsi="Times New Roman" w:cs="Times New Roman"/>
          <w:color w:val="0E101A"/>
          <w:sz w:val="24"/>
          <w:szCs w:val="24"/>
        </w:rPr>
      </w:pPr>
    </w:p>
    <w:p w:rsidR="00D11848" w:rsidRPr="005776CC" w:rsidRDefault="00FE199F" w:rsidP="00D11848">
      <w:pPr>
        <w:spacing w:line="26" w:lineRule="atLeast"/>
        <w:jc w:val="both"/>
        <w:rPr>
          <w:rFonts w:ascii="Times New Roman" w:hAnsi="Times New Roman" w:cs="Times New Roman"/>
          <w:b/>
          <w:sz w:val="24"/>
          <w:szCs w:val="24"/>
        </w:rPr>
      </w:pPr>
      <w:r>
        <w:rPr>
          <w:rFonts w:ascii="Times New Roman" w:hAnsi="Times New Roman" w:cs="Times New Roman"/>
          <w:b/>
          <w:sz w:val="24"/>
          <w:szCs w:val="24"/>
        </w:rPr>
        <w:t xml:space="preserve">d) </w:t>
      </w:r>
      <w:r w:rsidR="00D11848" w:rsidRPr="005776CC">
        <w:rPr>
          <w:rFonts w:ascii="Times New Roman" w:hAnsi="Times New Roman" w:cs="Times New Roman"/>
          <w:b/>
          <w:sz w:val="24"/>
          <w:szCs w:val="24"/>
        </w:rPr>
        <w:t>Efforts to Reduce to Global Emission</w:t>
      </w:r>
    </w:p>
    <w:p w:rsidR="00D11848" w:rsidRPr="005776CC" w:rsidRDefault="00D11848" w:rsidP="00D11848">
      <w:pPr>
        <w:pStyle w:val="Default"/>
        <w:spacing w:line="360" w:lineRule="auto"/>
        <w:jc w:val="both"/>
      </w:pPr>
      <w:r w:rsidRPr="005776CC">
        <w:t>Climate change is an international environmental issue. In economic theory terms, as we noted in Chapter 12, climate change is a public good issue, requiring global collaboration to achieve effective results. Since the United Nations Framework Convention on Climate Change (UNFCCC) was first established in 1992, there have been extensive international discussions, known as ―Conferences of the Partie</w:t>
      </w:r>
      <w:r w:rsidR="00C74A33">
        <w:t>s</w:t>
      </w:r>
      <w:r w:rsidRPr="005776CC">
        <w:t xml:space="preserve"> or COPs, aimed at reaching a global agreement on e</w:t>
      </w:r>
      <w:r w:rsidR="00C74A33">
        <w:t xml:space="preserve">missions </w:t>
      </w:r>
      <w:proofErr w:type="gramStart"/>
      <w:r w:rsidR="00C74A33">
        <w:t xml:space="preserve">reduction </w:t>
      </w:r>
      <w:r w:rsidRPr="005776CC">
        <w:t>.</w:t>
      </w:r>
      <w:proofErr w:type="gramEnd"/>
      <w:r w:rsidRPr="005776CC">
        <w:t xml:space="preserve"> </w:t>
      </w:r>
    </w:p>
    <w:p w:rsidR="004A4726" w:rsidRPr="004A4726" w:rsidRDefault="00D11848" w:rsidP="004A4726">
      <w:pPr>
        <w:pStyle w:val="Default"/>
        <w:spacing w:line="360" w:lineRule="auto"/>
        <w:jc w:val="both"/>
        <w:rPr>
          <w:lang w:val="en-IN"/>
        </w:rPr>
      </w:pPr>
      <w:r w:rsidRPr="005776CC">
        <w:t xml:space="preserve">The Paris Agreement, negotiated by 195 national delegations, formally expresses the global aim of holding temperatures to no more than 2° C above preindustrial levels, with a more ambitious target of 1.5° C. Since the current total of country pledges (INDCs) is not sufficient to secure the global goal of keeping warming under 2° C, the agreement includes 5 year cycles for countries to review their goals and ratchet up their targets, in order to reach more ambitious goals. The negotiating process has been designed to put pressure on every country to comply with its own pledges and to increase them over time. </w:t>
      </w:r>
      <w:r w:rsidR="004A4726" w:rsidRPr="004A4726">
        <w:rPr>
          <w:lang w:val="en-IN"/>
        </w:rPr>
        <w:t>Important Events in International Climate Change Negotiations</w:t>
      </w:r>
      <w:r w:rsidR="004A4726">
        <w:rPr>
          <w:lang w:val="en-IN"/>
        </w:rPr>
        <w:t xml:space="preserve"> have been presented in Table 3.</w:t>
      </w:r>
    </w:p>
    <w:p w:rsidR="00D11848" w:rsidRPr="005776CC" w:rsidRDefault="00D11848" w:rsidP="00D11848">
      <w:pPr>
        <w:spacing w:after="0" w:line="240" w:lineRule="auto"/>
        <w:jc w:val="both"/>
        <w:rPr>
          <w:rFonts w:ascii="Times New Roman" w:hAnsi="Times New Roman" w:cs="Times New Roman"/>
          <w:sz w:val="24"/>
          <w:szCs w:val="24"/>
        </w:rPr>
      </w:pPr>
    </w:p>
    <w:p w:rsidR="00D11848" w:rsidRPr="005776CC" w:rsidRDefault="00B158AD" w:rsidP="00D118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type="column"/>
      </w:r>
      <w:r w:rsidR="00D11848" w:rsidRPr="005776CC">
        <w:rPr>
          <w:rFonts w:ascii="Times New Roman" w:hAnsi="Times New Roman" w:cs="Times New Roman"/>
          <w:b/>
          <w:sz w:val="24"/>
          <w:szCs w:val="24"/>
        </w:rPr>
        <w:lastRenderedPageBreak/>
        <w:t>Table 3: Important Events in International Climate Change Negotiations</w:t>
      </w:r>
    </w:p>
    <w:tbl>
      <w:tblPr>
        <w:tblStyle w:val="TableGrid"/>
        <w:tblW w:w="0" w:type="auto"/>
        <w:tblLook w:val="04A0"/>
      </w:tblPr>
      <w:tblGrid>
        <w:gridCol w:w="2393"/>
        <w:gridCol w:w="6849"/>
      </w:tblGrid>
      <w:tr w:rsidR="00D11848" w:rsidRPr="005776CC" w:rsidTr="00B76D6A">
        <w:tc>
          <w:tcPr>
            <w:tcW w:w="244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Year, Location</w:t>
            </w:r>
          </w:p>
        </w:tc>
        <w:tc>
          <w:tcPr>
            <w:tcW w:w="712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Outcome</w:t>
            </w:r>
          </w:p>
        </w:tc>
      </w:tr>
      <w:tr w:rsidR="00D11848" w:rsidRPr="005776CC" w:rsidTr="00B76D6A">
        <w:tc>
          <w:tcPr>
            <w:tcW w:w="244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1992,  Rio de Janeiro</w:t>
            </w:r>
          </w:p>
        </w:tc>
        <w:tc>
          <w:tcPr>
            <w:tcW w:w="712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Negotiations start completion of UN Framework Convention on Climate change (UNFCCC). Countries agree to voluntarily reduce emissions with “Common but differentiated responsibilities.”</w:t>
            </w:r>
          </w:p>
        </w:tc>
      </w:tr>
      <w:tr w:rsidR="00D11848" w:rsidRPr="005776CC" w:rsidTr="00B76D6A">
        <w:tc>
          <w:tcPr>
            <w:tcW w:w="244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1995, Berlin</w:t>
            </w:r>
          </w:p>
        </w:tc>
        <w:tc>
          <w:tcPr>
            <w:tcW w:w="712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The first annual conference of the parties to the framework, known as COP, United states agrees to exempt developing countries from binding obligations.</w:t>
            </w:r>
          </w:p>
        </w:tc>
      </w:tr>
      <w:tr w:rsidR="00D11848" w:rsidRPr="005776CC" w:rsidTr="00B76D6A">
        <w:tc>
          <w:tcPr>
            <w:tcW w:w="244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1997, Kyoto</w:t>
            </w:r>
          </w:p>
        </w:tc>
        <w:tc>
          <w:tcPr>
            <w:tcW w:w="712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COP-3 diplomats approve the Kyoto Protocol. Mandates developed countries to cut greenhouse gas emission relative to baseline emissions by 2008-12 periods.</w:t>
            </w:r>
          </w:p>
        </w:tc>
      </w:tr>
      <w:tr w:rsidR="00D11848" w:rsidRPr="005776CC" w:rsidTr="00B76D6A">
        <w:tc>
          <w:tcPr>
            <w:tcW w:w="244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2000, The Hague</w:t>
            </w:r>
          </w:p>
        </w:tc>
        <w:tc>
          <w:tcPr>
            <w:tcW w:w="712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Outgoing Clinton administration and Europeans differ on some COP-6 terms, mainly over credit for carbon sinks such as agriculture and forests. Talks collapse.</w:t>
            </w:r>
          </w:p>
        </w:tc>
      </w:tr>
      <w:tr w:rsidR="00D11848" w:rsidRPr="005776CC" w:rsidTr="00B76D6A">
        <w:tc>
          <w:tcPr>
            <w:tcW w:w="244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2001, Bonn</w:t>
            </w:r>
          </w:p>
        </w:tc>
        <w:tc>
          <w:tcPr>
            <w:tcW w:w="712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A second session of the cop-6 talks works out terms for compliance and financing. However, by this time the Bush administration had rejected the Kyoto Protocol and the United States was only an observer to the talks.</w:t>
            </w:r>
          </w:p>
        </w:tc>
      </w:tr>
      <w:tr w:rsidR="00D11848" w:rsidRPr="005776CC" w:rsidTr="00B76D6A">
        <w:tc>
          <w:tcPr>
            <w:tcW w:w="244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2004, Buenos Airs</w:t>
            </w:r>
          </w:p>
        </w:tc>
        <w:tc>
          <w:tcPr>
            <w:tcW w:w="712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 xml:space="preserve">United States </w:t>
            </w:r>
            <w:proofErr w:type="gramStart"/>
            <w:r w:rsidRPr="005776CC">
              <w:rPr>
                <w:rFonts w:ascii="Times New Roman" w:hAnsi="Times New Roman" w:cs="Times New Roman"/>
                <w:sz w:val="24"/>
                <w:szCs w:val="24"/>
              </w:rPr>
              <w:t>blokes</w:t>
            </w:r>
            <w:proofErr w:type="gramEnd"/>
            <w:r w:rsidRPr="005776CC">
              <w:rPr>
                <w:rFonts w:ascii="Times New Roman" w:hAnsi="Times New Roman" w:cs="Times New Roman"/>
                <w:sz w:val="24"/>
                <w:szCs w:val="24"/>
              </w:rPr>
              <w:t xml:space="preserve"> formal negotiation on Post-Kyoto treaty. COP-10 diplomats try informal talks</w:t>
            </w:r>
          </w:p>
        </w:tc>
      </w:tr>
      <w:tr w:rsidR="00D11848" w:rsidRPr="005776CC" w:rsidTr="00B76D6A">
        <w:tc>
          <w:tcPr>
            <w:tcW w:w="244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2007, Bali</w:t>
            </w:r>
          </w:p>
        </w:tc>
        <w:tc>
          <w:tcPr>
            <w:tcW w:w="712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COP-13 diplomats approve schedule for post-Kyoto negotiations to end in 2009. This time the United States cooperates as presidential candidates appear supportive of climate change policies.</w:t>
            </w:r>
          </w:p>
        </w:tc>
      </w:tr>
      <w:tr w:rsidR="00D11848" w:rsidRPr="005776CC" w:rsidTr="00B76D6A">
        <w:tc>
          <w:tcPr>
            <w:tcW w:w="244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2009, Copenhagen</w:t>
            </w:r>
          </w:p>
        </w:tc>
        <w:tc>
          <w:tcPr>
            <w:tcW w:w="712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COP-15 fails to produce a binding post-</w:t>
            </w:r>
            <w:proofErr w:type="spellStart"/>
            <w:r w:rsidRPr="005776CC">
              <w:rPr>
                <w:rFonts w:ascii="Times New Roman" w:hAnsi="Times New Roman" w:cs="Times New Roman"/>
                <w:sz w:val="24"/>
                <w:szCs w:val="24"/>
              </w:rPr>
              <w:t>kyoto</w:t>
            </w:r>
            <w:proofErr w:type="spellEnd"/>
            <w:r w:rsidRPr="005776CC">
              <w:rPr>
                <w:rFonts w:ascii="Times New Roman" w:hAnsi="Times New Roman" w:cs="Times New Roman"/>
                <w:sz w:val="24"/>
                <w:szCs w:val="24"/>
              </w:rPr>
              <w:t xml:space="preserve"> agreement. Instead, the Copenhagen accord declares the importance of limiting warming to under 2oC, yet without any binding targets. Developed countries pledge to provide financing to developing countries of $30 billion annually, rising to $100 </w:t>
            </w:r>
            <w:proofErr w:type="gramStart"/>
            <w:r w:rsidRPr="005776CC">
              <w:rPr>
                <w:rFonts w:ascii="Times New Roman" w:hAnsi="Times New Roman" w:cs="Times New Roman"/>
                <w:sz w:val="24"/>
                <w:szCs w:val="24"/>
              </w:rPr>
              <w:t>billion  by</w:t>
            </w:r>
            <w:proofErr w:type="gramEnd"/>
            <w:r w:rsidRPr="005776CC">
              <w:rPr>
                <w:rFonts w:ascii="Times New Roman" w:hAnsi="Times New Roman" w:cs="Times New Roman"/>
                <w:sz w:val="24"/>
                <w:szCs w:val="24"/>
              </w:rPr>
              <w:t xml:space="preserve"> 2020.</w:t>
            </w:r>
          </w:p>
        </w:tc>
      </w:tr>
      <w:tr w:rsidR="00D11848" w:rsidRPr="005776CC" w:rsidTr="00B76D6A">
        <w:tc>
          <w:tcPr>
            <w:tcW w:w="244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2010, Cancun</w:t>
            </w:r>
          </w:p>
        </w:tc>
        <w:tc>
          <w:tcPr>
            <w:tcW w:w="712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Nations meet to work out details of the “Green Climate Fund” agreed to in Copenhagen. The framework is set for a possible new binding treaty in 2011.</w:t>
            </w:r>
          </w:p>
        </w:tc>
      </w:tr>
      <w:tr w:rsidR="00D11848" w:rsidRPr="005776CC" w:rsidTr="00B76D6A">
        <w:tc>
          <w:tcPr>
            <w:tcW w:w="244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2011, Durban</w:t>
            </w:r>
          </w:p>
        </w:tc>
        <w:tc>
          <w:tcPr>
            <w:tcW w:w="7128" w:type="dxa"/>
          </w:tcPr>
          <w:p w:rsidR="00D11848" w:rsidRPr="005776CC" w:rsidRDefault="00D11848" w:rsidP="00B76D6A">
            <w:pPr>
              <w:jc w:val="both"/>
              <w:rPr>
                <w:rFonts w:ascii="Times New Roman" w:hAnsi="Times New Roman" w:cs="Times New Roman"/>
                <w:sz w:val="24"/>
                <w:szCs w:val="24"/>
              </w:rPr>
            </w:pPr>
            <w:r w:rsidRPr="005776CC">
              <w:rPr>
                <w:rFonts w:ascii="Times New Roman" w:hAnsi="Times New Roman" w:cs="Times New Roman"/>
                <w:sz w:val="24"/>
                <w:szCs w:val="24"/>
              </w:rPr>
              <w:t xml:space="preserve">COP-17 participating countries </w:t>
            </w:r>
            <w:proofErr w:type="gramStart"/>
            <w:r w:rsidRPr="005776CC">
              <w:rPr>
                <w:rFonts w:ascii="Times New Roman" w:hAnsi="Times New Roman" w:cs="Times New Roman"/>
                <w:sz w:val="24"/>
                <w:szCs w:val="24"/>
              </w:rPr>
              <w:t>agreed  to</w:t>
            </w:r>
            <w:proofErr w:type="gramEnd"/>
            <w:r w:rsidRPr="005776CC">
              <w:rPr>
                <w:rFonts w:ascii="Times New Roman" w:hAnsi="Times New Roman" w:cs="Times New Roman"/>
                <w:sz w:val="24"/>
                <w:szCs w:val="24"/>
              </w:rPr>
              <w:t xml:space="preserve"> adopt a universal legal agreement on climate change as soon as possible, and no later than 2015, to take effect by 2020.</w:t>
            </w:r>
          </w:p>
        </w:tc>
      </w:tr>
      <w:tr w:rsidR="00D11848" w:rsidRPr="005776CC" w:rsidTr="00B76D6A">
        <w:tc>
          <w:tcPr>
            <w:tcW w:w="2448" w:type="dxa"/>
          </w:tcPr>
          <w:p w:rsidR="00D11848" w:rsidRPr="005776CC" w:rsidRDefault="00D11848" w:rsidP="00B76D6A">
            <w:pPr>
              <w:pStyle w:val="Default"/>
              <w:jc w:val="both"/>
            </w:pPr>
          </w:p>
          <w:tbl>
            <w:tblPr>
              <w:tblW w:w="0" w:type="auto"/>
              <w:tblBorders>
                <w:top w:val="nil"/>
                <w:left w:val="nil"/>
                <w:bottom w:val="nil"/>
                <w:right w:val="nil"/>
              </w:tblBorders>
              <w:tblLook w:val="0000"/>
            </w:tblPr>
            <w:tblGrid>
              <w:gridCol w:w="1296"/>
            </w:tblGrid>
            <w:tr w:rsidR="00D11848" w:rsidRPr="005776CC" w:rsidTr="00B76D6A">
              <w:trPr>
                <w:trHeight w:val="218"/>
              </w:trPr>
              <w:tc>
                <w:tcPr>
                  <w:tcW w:w="0" w:type="auto"/>
                </w:tcPr>
                <w:p w:rsidR="00D11848" w:rsidRPr="005776CC" w:rsidRDefault="00D11848" w:rsidP="00B76D6A">
                  <w:pPr>
                    <w:pStyle w:val="Default"/>
                    <w:jc w:val="both"/>
                  </w:pPr>
                  <w:r w:rsidRPr="005776CC">
                    <w:t xml:space="preserve">2015, Paris </w:t>
                  </w:r>
                </w:p>
              </w:tc>
            </w:tr>
          </w:tbl>
          <w:p w:rsidR="00D11848" w:rsidRPr="005776CC" w:rsidRDefault="00D11848" w:rsidP="00B76D6A">
            <w:pPr>
              <w:pStyle w:val="Default"/>
              <w:jc w:val="both"/>
              <w:rPr>
                <w:color w:val="auto"/>
              </w:rPr>
            </w:pPr>
          </w:p>
          <w:p w:rsidR="00D11848" w:rsidRPr="005776CC" w:rsidRDefault="00D11848" w:rsidP="00B76D6A">
            <w:pPr>
              <w:jc w:val="both"/>
              <w:rPr>
                <w:rFonts w:ascii="Times New Roman" w:hAnsi="Times New Roman" w:cs="Times New Roman"/>
                <w:sz w:val="24"/>
                <w:szCs w:val="24"/>
              </w:rPr>
            </w:pPr>
          </w:p>
        </w:tc>
        <w:tc>
          <w:tcPr>
            <w:tcW w:w="7128" w:type="dxa"/>
          </w:tcPr>
          <w:p w:rsidR="00D11848" w:rsidRPr="005776CC" w:rsidRDefault="00D11848" w:rsidP="00B76D6A">
            <w:pPr>
              <w:pStyle w:val="Default"/>
              <w:jc w:val="both"/>
            </w:pPr>
          </w:p>
          <w:tbl>
            <w:tblPr>
              <w:tblW w:w="0" w:type="auto"/>
              <w:tblBorders>
                <w:top w:val="nil"/>
                <w:left w:val="nil"/>
                <w:bottom w:val="nil"/>
                <w:right w:val="nil"/>
              </w:tblBorders>
              <w:tblLook w:val="0000"/>
            </w:tblPr>
            <w:tblGrid>
              <w:gridCol w:w="6633"/>
            </w:tblGrid>
            <w:tr w:rsidR="00D11848" w:rsidRPr="005776CC" w:rsidTr="00B76D6A">
              <w:trPr>
                <w:trHeight w:val="494"/>
              </w:trPr>
              <w:tc>
                <w:tcPr>
                  <w:tcW w:w="0" w:type="auto"/>
                </w:tcPr>
                <w:p w:rsidR="00D11848" w:rsidRPr="005776CC" w:rsidRDefault="00D11848" w:rsidP="00B76D6A">
                  <w:pPr>
                    <w:pStyle w:val="Default"/>
                    <w:jc w:val="both"/>
                  </w:pPr>
                  <w:r w:rsidRPr="005776CC">
                    <w:t xml:space="preserve">COP-21 195 nations sign the Paris Agreement, providing for worldwide voluntary actions (INDC’s) by individual countries. </w:t>
                  </w:r>
                </w:p>
              </w:tc>
            </w:tr>
          </w:tbl>
          <w:p w:rsidR="00D11848" w:rsidRPr="005776CC" w:rsidRDefault="00D11848" w:rsidP="00B76D6A">
            <w:pPr>
              <w:pStyle w:val="Default"/>
              <w:jc w:val="both"/>
              <w:rPr>
                <w:color w:val="auto"/>
              </w:rPr>
            </w:pPr>
          </w:p>
          <w:p w:rsidR="00D11848" w:rsidRPr="005776CC" w:rsidRDefault="00D11848" w:rsidP="00B76D6A">
            <w:pPr>
              <w:jc w:val="both"/>
              <w:rPr>
                <w:rFonts w:ascii="Times New Roman" w:hAnsi="Times New Roman" w:cs="Times New Roman"/>
                <w:sz w:val="24"/>
                <w:szCs w:val="24"/>
              </w:rPr>
            </w:pPr>
          </w:p>
        </w:tc>
      </w:tr>
    </w:tbl>
    <w:p w:rsidR="00D11848" w:rsidRPr="005776CC" w:rsidRDefault="00D11848" w:rsidP="00D11848">
      <w:pPr>
        <w:spacing w:after="0" w:line="240" w:lineRule="auto"/>
        <w:jc w:val="both"/>
        <w:rPr>
          <w:rFonts w:ascii="Times New Roman" w:eastAsia="Times New Roman" w:hAnsi="Times New Roman" w:cs="Times New Roman"/>
          <w:sz w:val="24"/>
          <w:szCs w:val="24"/>
        </w:rPr>
      </w:pPr>
      <w:r w:rsidRPr="005776CC">
        <w:rPr>
          <w:rFonts w:ascii="Times New Roman" w:hAnsi="Times New Roman" w:cs="Times New Roman"/>
          <w:sz w:val="24"/>
          <w:szCs w:val="24"/>
        </w:rPr>
        <w:t xml:space="preserve">Source: </w:t>
      </w:r>
      <w:r w:rsidRPr="005776CC">
        <w:rPr>
          <w:rFonts w:ascii="Times New Roman" w:eastAsia="Times New Roman" w:hAnsi="Times New Roman" w:cs="Times New Roman"/>
          <w:sz w:val="24"/>
          <w:szCs w:val="24"/>
        </w:rPr>
        <w:t xml:space="preserve">Harris, J. M., &amp; Roach, B. (2013). </w:t>
      </w:r>
    </w:p>
    <w:p w:rsidR="003D5178" w:rsidRDefault="003D5178" w:rsidP="00D11848">
      <w:pPr>
        <w:spacing w:line="360" w:lineRule="auto"/>
        <w:jc w:val="both"/>
        <w:rPr>
          <w:rFonts w:ascii="Times New Roman" w:hAnsi="Times New Roman" w:cs="Times New Roman"/>
          <w:b/>
          <w:color w:val="000000"/>
          <w:sz w:val="24"/>
          <w:szCs w:val="24"/>
        </w:rPr>
      </w:pPr>
    </w:p>
    <w:p w:rsidR="00D11848" w:rsidRPr="005776CC" w:rsidRDefault="00FE199F" w:rsidP="00D11848">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e) </w:t>
      </w:r>
      <w:r w:rsidR="00D11848" w:rsidRPr="005776CC">
        <w:rPr>
          <w:rFonts w:ascii="Times New Roman" w:hAnsi="Times New Roman" w:cs="Times New Roman"/>
          <w:b/>
          <w:color w:val="000000"/>
          <w:sz w:val="24"/>
          <w:szCs w:val="24"/>
        </w:rPr>
        <w:t>Actions or Initiatives taken in India:</w:t>
      </w:r>
    </w:p>
    <w:p w:rsidR="00D11848" w:rsidRPr="005776CC" w:rsidRDefault="00D11848" w:rsidP="00D11848">
      <w:pPr>
        <w:spacing w:line="360" w:lineRule="auto"/>
        <w:jc w:val="both"/>
        <w:rPr>
          <w:rFonts w:ascii="Times New Roman" w:hAnsi="Times New Roman" w:cs="Times New Roman"/>
          <w:b/>
          <w:color w:val="000000"/>
          <w:sz w:val="24"/>
          <w:szCs w:val="24"/>
        </w:rPr>
      </w:pPr>
      <w:r w:rsidRPr="005776CC">
        <w:rPr>
          <w:rFonts w:ascii="Times New Roman" w:hAnsi="Times New Roman" w:cs="Times New Roman"/>
          <w:bCs/>
          <w:sz w:val="24"/>
          <w:szCs w:val="24"/>
        </w:rPr>
        <w:t>Under the ambit of National Action Plan on Climate Change, 8 Missions have been initiated by Government of India to implement the sustainable development programmes. These eight missions covering the various sectors are:</w:t>
      </w:r>
    </w:p>
    <w:p w:rsidR="00D11848" w:rsidRPr="005776CC" w:rsidRDefault="00D11848" w:rsidP="00D11848">
      <w:pPr>
        <w:numPr>
          <w:ilvl w:val="0"/>
          <w:numId w:val="12"/>
        </w:numPr>
        <w:spacing w:after="0" w:line="360" w:lineRule="auto"/>
        <w:jc w:val="both"/>
        <w:rPr>
          <w:rFonts w:ascii="Times New Roman" w:hAnsi="Times New Roman" w:cs="Times New Roman"/>
          <w:bCs/>
          <w:sz w:val="24"/>
          <w:szCs w:val="24"/>
        </w:rPr>
      </w:pPr>
      <w:r w:rsidRPr="005776CC">
        <w:rPr>
          <w:rFonts w:ascii="Times New Roman" w:hAnsi="Times New Roman" w:cs="Times New Roman"/>
          <w:bCs/>
          <w:sz w:val="24"/>
          <w:szCs w:val="24"/>
        </w:rPr>
        <w:lastRenderedPageBreak/>
        <w:t xml:space="preserve">National Solar </w:t>
      </w:r>
      <w:smartTag w:uri="urn:schemas-microsoft-com:office:smarttags" w:element="place">
        <w:smartTag w:uri="urn:schemas-microsoft-com:office:smarttags" w:element="City">
          <w:r w:rsidRPr="005776CC">
            <w:rPr>
              <w:rFonts w:ascii="Times New Roman" w:hAnsi="Times New Roman" w:cs="Times New Roman"/>
              <w:bCs/>
              <w:sz w:val="24"/>
              <w:szCs w:val="24"/>
            </w:rPr>
            <w:t>Mission</w:t>
          </w:r>
        </w:smartTag>
      </w:smartTag>
    </w:p>
    <w:p w:rsidR="00D11848" w:rsidRPr="005776CC" w:rsidRDefault="00D11848" w:rsidP="00D11848">
      <w:pPr>
        <w:numPr>
          <w:ilvl w:val="0"/>
          <w:numId w:val="12"/>
        </w:numPr>
        <w:spacing w:after="0" w:line="360" w:lineRule="auto"/>
        <w:jc w:val="both"/>
        <w:rPr>
          <w:rFonts w:ascii="Times New Roman" w:hAnsi="Times New Roman" w:cs="Times New Roman"/>
          <w:bCs/>
          <w:sz w:val="24"/>
          <w:szCs w:val="24"/>
        </w:rPr>
      </w:pPr>
      <w:r w:rsidRPr="005776CC">
        <w:rPr>
          <w:rFonts w:ascii="Times New Roman" w:hAnsi="Times New Roman" w:cs="Times New Roman"/>
          <w:bCs/>
          <w:sz w:val="24"/>
          <w:szCs w:val="24"/>
        </w:rPr>
        <w:t xml:space="preserve">National </w:t>
      </w:r>
      <w:smartTag w:uri="urn:schemas-microsoft-com:office:smarttags" w:element="place">
        <w:smartTag w:uri="urn:schemas-microsoft-com:office:smarttags" w:element="City">
          <w:r w:rsidRPr="005776CC">
            <w:rPr>
              <w:rFonts w:ascii="Times New Roman" w:hAnsi="Times New Roman" w:cs="Times New Roman"/>
              <w:bCs/>
              <w:sz w:val="24"/>
              <w:szCs w:val="24"/>
            </w:rPr>
            <w:t>Mission</w:t>
          </w:r>
        </w:smartTag>
      </w:smartTag>
      <w:r w:rsidRPr="005776CC">
        <w:rPr>
          <w:rFonts w:ascii="Times New Roman" w:hAnsi="Times New Roman" w:cs="Times New Roman"/>
          <w:bCs/>
          <w:sz w:val="24"/>
          <w:szCs w:val="24"/>
        </w:rPr>
        <w:t xml:space="preserve"> for Enhanced Energy Efficiency in Industry</w:t>
      </w:r>
    </w:p>
    <w:p w:rsidR="00D11848" w:rsidRPr="005776CC" w:rsidRDefault="00D11848" w:rsidP="00D11848">
      <w:pPr>
        <w:numPr>
          <w:ilvl w:val="0"/>
          <w:numId w:val="12"/>
        </w:numPr>
        <w:spacing w:after="0" w:line="360" w:lineRule="auto"/>
        <w:jc w:val="both"/>
        <w:rPr>
          <w:rFonts w:ascii="Times New Roman" w:hAnsi="Times New Roman" w:cs="Times New Roman"/>
          <w:bCs/>
          <w:sz w:val="24"/>
          <w:szCs w:val="24"/>
          <w:lang w:val="fr-FR"/>
        </w:rPr>
      </w:pPr>
      <w:r w:rsidRPr="005776CC">
        <w:rPr>
          <w:rFonts w:ascii="Times New Roman" w:hAnsi="Times New Roman" w:cs="Times New Roman"/>
          <w:bCs/>
          <w:sz w:val="24"/>
          <w:szCs w:val="24"/>
          <w:lang w:val="fr-FR"/>
        </w:rPr>
        <w:t xml:space="preserve">National Mission on </w:t>
      </w:r>
      <w:proofErr w:type="spellStart"/>
      <w:r w:rsidRPr="005776CC">
        <w:rPr>
          <w:rFonts w:ascii="Times New Roman" w:hAnsi="Times New Roman" w:cs="Times New Roman"/>
          <w:bCs/>
          <w:sz w:val="24"/>
          <w:szCs w:val="24"/>
          <w:lang w:val="fr-FR"/>
        </w:rPr>
        <w:t>Sustainable</w:t>
      </w:r>
      <w:proofErr w:type="spellEnd"/>
      <w:r w:rsidRPr="005776CC">
        <w:rPr>
          <w:rFonts w:ascii="Times New Roman" w:hAnsi="Times New Roman" w:cs="Times New Roman"/>
          <w:bCs/>
          <w:sz w:val="24"/>
          <w:szCs w:val="24"/>
          <w:lang w:val="fr-FR"/>
        </w:rPr>
        <w:t xml:space="preserve"> Habitat</w:t>
      </w:r>
    </w:p>
    <w:p w:rsidR="00D11848" w:rsidRPr="005776CC" w:rsidRDefault="00D11848" w:rsidP="00D11848">
      <w:pPr>
        <w:numPr>
          <w:ilvl w:val="0"/>
          <w:numId w:val="12"/>
        </w:numPr>
        <w:spacing w:after="0" w:line="360" w:lineRule="auto"/>
        <w:jc w:val="both"/>
        <w:rPr>
          <w:rFonts w:ascii="Times New Roman" w:hAnsi="Times New Roman" w:cs="Times New Roman"/>
          <w:bCs/>
          <w:sz w:val="24"/>
          <w:szCs w:val="24"/>
        </w:rPr>
      </w:pPr>
      <w:r w:rsidRPr="005776CC">
        <w:rPr>
          <w:rFonts w:ascii="Times New Roman" w:hAnsi="Times New Roman" w:cs="Times New Roman"/>
          <w:bCs/>
          <w:sz w:val="24"/>
          <w:szCs w:val="24"/>
        </w:rPr>
        <w:t xml:space="preserve">National Water </w:t>
      </w:r>
      <w:smartTag w:uri="urn:schemas-microsoft-com:office:smarttags" w:element="place">
        <w:smartTag w:uri="urn:schemas-microsoft-com:office:smarttags" w:element="City">
          <w:r w:rsidRPr="005776CC">
            <w:rPr>
              <w:rFonts w:ascii="Times New Roman" w:hAnsi="Times New Roman" w:cs="Times New Roman"/>
              <w:bCs/>
              <w:sz w:val="24"/>
              <w:szCs w:val="24"/>
            </w:rPr>
            <w:t>Mission</w:t>
          </w:r>
        </w:smartTag>
      </w:smartTag>
    </w:p>
    <w:p w:rsidR="00D11848" w:rsidRPr="005776CC" w:rsidRDefault="00D11848" w:rsidP="00D11848">
      <w:pPr>
        <w:numPr>
          <w:ilvl w:val="0"/>
          <w:numId w:val="12"/>
        </w:numPr>
        <w:spacing w:after="0" w:line="360" w:lineRule="auto"/>
        <w:jc w:val="both"/>
        <w:rPr>
          <w:rFonts w:ascii="Times New Roman" w:hAnsi="Times New Roman" w:cs="Times New Roman"/>
          <w:bCs/>
          <w:sz w:val="24"/>
          <w:szCs w:val="24"/>
        </w:rPr>
      </w:pPr>
      <w:r w:rsidRPr="005776CC">
        <w:rPr>
          <w:rFonts w:ascii="Times New Roman" w:hAnsi="Times New Roman" w:cs="Times New Roman"/>
          <w:bCs/>
          <w:sz w:val="24"/>
          <w:szCs w:val="24"/>
        </w:rPr>
        <w:t xml:space="preserve">National </w:t>
      </w:r>
      <w:smartTag w:uri="urn:schemas-microsoft-com:office:smarttags" w:element="place">
        <w:smartTag w:uri="urn:schemas-microsoft-com:office:smarttags" w:element="City">
          <w:r w:rsidRPr="005776CC">
            <w:rPr>
              <w:rFonts w:ascii="Times New Roman" w:hAnsi="Times New Roman" w:cs="Times New Roman"/>
              <w:bCs/>
              <w:sz w:val="24"/>
              <w:szCs w:val="24"/>
            </w:rPr>
            <w:t>Mission</w:t>
          </w:r>
        </w:smartTag>
      </w:smartTag>
      <w:r w:rsidRPr="005776CC">
        <w:rPr>
          <w:rFonts w:ascii="Times New Roman" w:hAnsi="Times New Roman" w:cs="Times New Roman"/>
          <w:bCs/>
          <w:sz w:val="24"/>
          <w:szCs w:val="24"/>
        </w:rPr>
        <w:t xml:space="preserve"> for Sustaining the Himalayan Ecosystem</w:t>
      </w:r>
    </w:p>
    <w:p w:rsidR="00D11848" w:rsidRPr="005776CC" w:rsidRDefault="00D11848" w:rsidP="00D11848">
      <w:pPr>
        <w:numPr>
          <w:ilvl w:val="0"/>
          <w:numId w:val="12"/>
        </w:numPr>
        <w:spacing w:after="0" w:line="360" w:lineRule="auto"/>
        <w:jc w:val="both"/>
        <w:rPr>
          <w:rFonts w:ascii="Times New Roman" w:hAnsi="Times New Roman" w:cs="Times New Roman"/>
          <w:bCs/>
          <w:sz w:val="24"/>
          <w:szCs w:val="24"/>
        </w:rPr>
      </w:pPr>
      <w:r w:rsidRPr="005776CC">
        <w:rPr>
          <w:rFonts w:ascii="Times New Roman" w:hAnsi="Times New Roman" w:cs="Times New Roman"/>
          <w:bCs/>
          <w:sz w:val="24"/>
          <w:szCs w:val="24"/>
        </w:rPr>
        <w:t xml:space="preserve">National </w:t>
      </w:r>
      <w:smartTag w:uri="urn:schemas-microsoft-com:office:smarttags" w:element="City">
        <w:r w:rsidRPr="005776CC">
          <w:rPr>
            <w:rFonts w:ascii="Times New Roman" w:hAnsi="Times New Roman" w:cs="Times New Roman"/>
            <w:bCs/>
            <w:sz w:val="24"/>
            <w:szCs w:val="24"/>
          </w:rPr>
          <w:t>Mission</w:t>
        </w:r>
      </w:smartTag>
      <w:r w:rsidRPr="005776CC">
        <w:rPr>
          <w:rFonts w:ascii="Times New Roman" w:hAnsi="Times New Roman" w:cs="Times New Roman"/>
          <w:bCs/>
          <w:sz w:val="24"/>
          <w:szCs w:val="24"/>
        </w:rPr>
        <w:t xml:space="preserve"> for a ‘Green </w:t>
      </w:r>
      <w:smartTag w:uri="urn:schemas-microsoft-com:office:smarttags" w:element="place">
        <w:smartTag w:uri="urn:schemas-microsoft-com:office:smarttags" w:element="country-region">
          <w:r w:rsidRPr="005776CC">
            <w:rPr>
              <w:rFonts w:ascii="Times New Roman" w:hAnsi="Times New Roman" w:cs="Times New Roman"/>
              <w:bCs/>
              <w:sz w:val="24"/>
              <w:szCs w:val="24"/>
            </w:rPr>
            <w:t>India</w:t>
          </w:r>
        </w:smartTag>
      </w:smartTag>
      <w:r w:rsidRPr="005776CC">
        <w:rPr>
          <w:rFonts w:ascii="Times New Roman" w:hAnsi="Times New Roman" w:cs="Times New Roman"/>
          <w:bCs/>
          <w:sz w:val="24"/>
          <w:szCs w:val="24"/>
        </w:rPr>
        <w:t>’</w:t>
      </w:r>
    </w:p>
    <w:p w:rsidR="00D11848" w:rsidRPr="005776CC" w:rsidRDefault="00D11848" w:rsidP="00D11848">
      <w:pPr>
        <w:numPr>
          <w:ilvl w:val="0"/>
          <w:numId w:val="12"/>
        </w:numPr>
        <w:spacing w:after="0" w:line="360" w:lineRule="auto"/>
        <w:jc w:val="both"/>
        <w:rPr>
          <w:rFonts w:ascii="Times New Roman" w:hAnsi="Times New Roman" w:cs="Times New Roman"/>
          <w:bCs/>
          <w:sz w:val="24"/>
          <w:szCs w:val="24"/>
        </w:rPr>
      </w:pPr>
      <w:r w:rsidRPr="005776CC">
        <w:rPr>
          <w:rFonts w:ascii="Times New Roman" w:hAnsi="Times New Roman" w:cs="Times New Roman"/>
          <w:bCs/>
          <w:sz w:val="24"/>
          <w:szCs w:val="24"/>
        </w:rPr>
        <w:t xml:space="preserve">National </w:t>
      </w:r>
      <w:smartTag w:uri="urn:schemas-microsoft-com:office:smarttags" w:element="place">
        <w:smartTag w:uri="urn:schemas-microsoft-com:office:smarttags" w:element="City">
          <w:r w:rsidRPr="005776CC">
            <w:rPr>
              <w:rFonts w:ascii="Times New Roman" w:hAnsi="Times New Roman" w:cs="Times New Roman"/>
              <w:bCs/>
              <w:sz w:val="24"/>
              <w:szCs w:val="24"/>
            </w:rPr>
            <w:t>Mission</w:t>
          </w:r>
        </w:smartTag>
      </w:smartTag>
      <w:r w:rsidRPr="005776CC">
        <w:rPr>
          <w:rFonts w:ascii="Times New Roman" w:hAnsi="Times New Roman" w:cs="Times New Roman"/>
          <w:bCs/>
          <w:sz w:val="24"/>
          <w:szCs w:val="24"/>
        </w:rPr>
        <w:t xml:space="preserve"> for Sustainable Agriculture</w:t>
      </w:r>
    </w:p>
    <w:p w:rsidR="00D11848" w:rsidRPr="005776CC" w:rsidRDefault="00D11848" w:rsidP="00D11848">
      <w:pPr>
        <w:numPr>
          <w:ilvl w:val="0"/>
          <w:numId w:val="12"/>
        </w:numPr>
        <w:spacing w:after="0" w:line="360" w:lineRule="auto"/>
        <w:jc w:val="both"/>
        <w:rPr>
          <w:rFonts w:ascii="Times New Roman" w:hAnsi="Times New Roman" w:cs="Times New Roman"/>
          <w:sz w:val="24"/>
          <w:szCs w:val="24"/>
        </w:rPr>
      </w:pPr>
      <w:r w:rsidRPr="005776CC">
        <w:rPr>
          <w:rFonts w:ascii="Times New Roman" w:hAnsi="Times New Roman" w:cs="Times New Roman"/>
          <w:bCs/>
          <w:sz w:val="24"/>
          <w:szCs w:val="24"/>
        </w:rPr>
        <w:t xml:space="preserve">National </w:t>
      </w:r>
      <w:smartTag w:uri="urn:schemas-microsoft-com:office:smarttags" w:element="place">
        <w:smartTag w:uri="urn:schemas-microsoft-com:office:smarttags" w:element="City">
          <w:r w:rsidRPr="005776CC">
            <w:rPr>
              <w:rFonts w:ascii="Times New Roman" w:hAnsi="Times New Roman" w:cs="Times New Roman"/>
              <w:bCs/>
              <w:sz w:val="24"/>
              <w:szCs w:val="24"/>
            </w:rPr>
            <w:t>Mission</w:t>
          </w:r>
        </w:smartTag>
      </w:smartTag>
      <w:r w:rsidRPr="005776CC">
        <w:rPr>
          <w:rFonts w:ascii="Times New Roman" w:hAnsi="Times New Roman" w:cs="Times New Roman"/>
          <w:bCs/>
          <w:sz w:val="24"/>
          <w:szCs w:val="24"/>
        </w:rPr>
        <w:t xml:space="preserve"> on Strategic Knowledge for Climate Change</w:t>
      </w:r>
    </w:p>
    <w:p w:rsidR="00D11848" w:rsidRPr="005776CC" w:rsidRDefault="00D11848" w:rsidP="00D11848">
      <w:pPr>
        <w:autoSpaceDE w:val="0"/>
        <w:autoSpaceDN w:val="0"/>
        <w:adjustRightInd w:val="0"/>
        <w:spacing w:after="0" w:line="360" w:lineRule="auto"/>
        <w:jc w:val="both"/>
        <w:rPr>
          <w:rFonts w:ascii="Times New Roman" w:hAnsi="Times New Roman" w:cs="Times New Roman"/>
          <w:sz w:val="24"/>
          <w:szCs w:val="24"/>
        </w:rPr>
      </w:pPr>
      <w:r w:rsidRPr="005776CC">
        <w:rPr>
          <w:rFonts w:ascii="Times New Roman" w:hAnsi="Times New Roman" w:cs="Times New Roman"/>
          <w:sz w:val="24"/>
          <w:szCs w:val="24"/>
        </w:rPr>
        <w:t>The major policies and actions for climate change mitigation and adaptation cut across different sectors and areas of the economy. The initiatives in some of the major areas are as presented i</w:t>
      </w:r>
      <w:r w:rsidR="004A4726">
        <w:rPr>
          <w:rFonts w:ascii="Times New Roman" w:hAnsi="Times New Roman" w:cs="Times New Roman"/>
          <w:sz w:val="24"/>
          <w:szCs w:val="24"/>
        </w:rPr>
        <w:t>n Table 4</w:t>
      </w:r>
      <w:r w:rsidRPr="005776CC">
        <w:rPr>
          <w:rFonts w:ascii="Times New Roman" w:hAnsi="Times New Roman" w:cs="Times New Roman"/>
          <w:sz w:val="24"/>
          <w:szCs w:val="24"/>
        </w:rPr>
        <w:t>.</w:t>
      </w:r>
    </w:p>
    <w:p w:rsidR="00D11848" w:rsidRPr="005776CC" w:rsidRDefault="004A4726" w:rsidP="00D1184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w:t>
      </w:r>
      <w:r w:rsidR="00D11848" w:rsidRPr="005776CC">
        <w:rPr>
          <w:rFonts w:ascii="Times New Roman" w:hAnsi="Times New Roman" w:cs="Times New Roman"/>
          <w:b/>
          <w:sz w:val="24"/>
          <w:szCs w:val="24"/>
        </w:rPr>
        <w:t>: Measures taken at Government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6015"/>
      </w:tblGrid>
      <w:tr w:rsidR="00D11848" w:rsidRPr="005776CC" w:rsidTr="00B158AD">
        <w:tc>
          <w:tcPr>
            <w:tcW w:w="3227" w:type="dxa"/>
          </w:tcPr>
          <w:p w:rsidR="00D11848" w:rsidRPr="005776CC" w:rsidRDefault="00D11848" w:rsidP="00B76D6A">
            <w:pPr>
              <w:autoSpaceDE w:val="0"/>
              <w:autoSpaceDN w:val="0"/>
              <w:adjustRightInd w:val="0"/>
              <w:spacing w:after="0" w:line="360" w:lineRule="auto"/>
              <w:jc w:val="both"/>
              <w:rPr>
                <w:rFonts w:ascii="Times New Roman" w:hAnsi="Times New Roman" w:cs="Times New Roman"/>
                <w:sz w:val="24"/>
                <w:szCs w:val="24"/>
              </w:rPr>
            </w:pPr>
            <w:r w:rsidRPr="005776CC">
              <w:rPr>
                <w:rFonts w:ascii="Times New Roman" w:hAnsi="Times New Roman" w:cs="Times New Roman"/>
                <w:sz w:val="24"/>
                <w:szCs w:val="24"/>
              </w:rPr>
              <w:t>Sector</w:t>
            </w:r>
          </w:p>
        </w:tc>
        <w:tc>
          <w:tcPr>
            <w:tcW w:w="6015" w:type="dxa"/>
          </w:tcPr>
          <w:p w:rsidR="00D11848" w:rsidRPr="005776CC" w:rsidRDefault="00D11848" w:rsidP="00B76D6A">
            <w:pPr>
              <w:autoSpaceDE w:val="0"/>
              <w:autoSpaceDN w:val="0"/>
              <w:adjustRightInd w:val="0"/>
              <w:spacing w:after="0" w:line="360" w:lineRule="auto"/>
              <w:jc w:val="both"/>
              <w:rPr>
                <w:rFonts w:ascii="Times New Roman" w:hAnsi="Times New Roman" w:cs="Times New Roman"/>
                <w:sz w:val="24"/>
                <w:szCs w:val="24"/>
              </w:rPr>
            </w:pPr>
            <w:r w:rsidRPr="005776CC">
              <w:rPr>
                <w:rFonts w:ascii="Times New Roman" w:hAnsi="Times New Roman" w:cs="Times New Roman"/>
                <w:sz w:val="24"/>
                <w:szCs w:val="24"/>
              </w:rPr>
              <w:t>Measures/Initiatives taken by GOI</w:t>
            </w:r>
          </w:p>
        </w:tc>
      </w:tr>
      <w:tr w:rsidR="00D11848" w:rsidRPr="005776CC" w:rsidTr="00B158AD">
        <w:tc>
          <w:tcPr>
            <w:tcW w:w="3227" w:type="dxa"/>
          </w:tcPr>
          <w:p w:rsidR="00D11848" w:rsidRPr="005776CC" w:rsidRDefault="00D11848" w:rsidP="00B76D6A">
            <w:pPr>
              <w:autoSpaceDE w:val="0"/>
              <w:autoSpaceDN w:val="0"/>
              <w:adjustRightInd w:val="0"/>
              <w:spacing w:after="0" w:line="360" w:lineRule="auto"/>
              <w:jc w:val="both"/>
              <w:rPr>
                <w:rFonts w:ascii="Times New Roman" w:hAnsi="Times New Roman" w:cs="Times New Roman"/>
                <w:sz w:val="24"/>
                <w:szCs w:val="24"/>
              </w:rPr>
            </w:pPr>
            <w:r w:rsidRPr="005776CC">
              <w:rPr>
                <w:rFonts w:ascii="Times New Roman" w:hAnsi="Times New Roman" w:cs="Times New Roman"/>
                <w:sz w:val="24"/>
                <w:szCs w:val="24"/>
              </w:rPr>
              <w:t>Energy Efficiency</w:t>
            </w:r>
          </w:p>
        </w:tc>
        <w:tc>
          <w:tcPr>
            <w:tcW w:w="6015" w:type="dxa"/>
          </w:tcPr>
          <w:p w:rsidR="00D11848" w:rsidRPr="005776CC" w:rsidRDefault="00D11848" w:rsidP="00B76D6A">
            <w:pPr>
              <w:autoSpaceDE w:val="0"/>
              <w:autoSpaceDN w:val="0"/>
              <w:adjustRightInd w:val="0"/>
              <w:spacing w:after="0" w:line="240" w:lineRule="auto"/>
              <w:jc w:val="both"/>
              <w:rPr>
                <w:rFonts w:ascii="Times New Roman" w:eastAsia="Times New Roman" w:hAnsi="Times New Roman" w:cs="Times New Roman"/>
                <w:sz w:val="24"/>
                <w:szCs w:val="24"/>
              </w:rPr>
            </w:pPr>
            <w:r w:rsidRPr="005776CC">
              <w:rPr>
                <w:rFonts w:ascii="Times New Roman" w:eastAsia="Times New Roman" w:hAnsi="Times New Roman" w:cs="Times New Roman"/>
                <w:sz w:val="24"/>
                <w:szCs w:val="24"/>
              </w:rPr>
              <w:t xml:space="preserve">National </w:t>
            </w:r>
            <w:smartTag w:uri="urn:schemas-microsoft-com:office:smarttags" w:element="City">
              <w:smartTag w:uri="urn:schemas-microsoft-com:office:smarttags" w:element="place">
                <w:r w:rsidRPr="005776CC">
                  <w:rPr>
                    <w:rFonts w:ascii="Times New Roman" w:eastAsia="Times New Roman" w:hAnsi="Times New Roman" w:cs="Times New Roman"/>
                    <w:sz w:val="24"/>
                    <w:szCs w:val="24"/>
                  </w:rPr>
                  <w:t>Mission</w:t>
                </w:r>
              </w:smartTag>
            </w:smartTag>
            <w:r w:rsidRPr="005776CC">
              <w:rPr>
                <w:rFonts w:ascii="Times New Roman" w:eastAsia="Times New Roman" w:hAnsi="Times New Roman" w:cs="Times New Roman"/>
                <w:sz w:val="24"/>
                <w:szCs w:val="24"/>
              </w:rPr>
              <w:t xml:space="preserve"> for Enhanced Energy Efficiency</w:t>
            </w:r>
          </w:p>
          <w:p w:rsidR="00D11848" w:rsidRPr="005776CC" w:rsidRDefault="00D11848" w:rsidP="00B76D6A">
            <w:pPr>
              <w:autoSpaceDE w:val="0"/>
              <w:autoSpaceDN w:val="0"/>
              <w:adjustRightInd w:val="0"/>
              <w:spacing w:after="0" w:line="240" w:lineRule="auto"/>
              <w:jc w:val="both"/>
              <w:rPr>
                <w:rFonts w:ascii="Times New Roman" w:eastAsia="Times New Roman" w:hAnsi="Times New Roman" w:cs="Times New Roman"/>
                <w:sz w:val="24"/>
                <w:szCs w:val="24"/>
              </w:rPr>
            </w:pPr>
            <w:r w:rsidRPr="005776CC">
              <w:rPr>
                <w:rFonts w:ascii="Times New Roman" w:eastAsia="Times New Roman" w:hAnsi="Times New Roman" w:cs="Times New Roman"/>
                <w:sz w:val="24"/>
                <w:szCs w:val="24"/>
              </w:rPr>
              <w:t>(NMEEE)</w:t>
            </w:r>
          </w:p>
          <w:p w:rsidR="00D11848" w:rsidRPr="005776CC" w:rsidRDefault="00D11848" w:rsidP="00B76D6A">
            <w:pPr>
              <w:autoSpaceDE w:val="0"/>
              <w:autoSpaceDN w:val="0"/>
              <w:adjustRightInd w:val="0"/>
              <w:spacing w:after="0" w:line="360" w:lineRule="auto"/>
              <w:jc w:val="both"/>
              <w:rPr>
                <w:rFonts w:ascii="Times New Roman" w:hAnsi="Times New Roman" w:cs="Times New Roman"/>
                <w:sz w:val="24"/>
                <w:szCs w:val="24"/>
              </w:rPr>
            </w:pPr>
          </w:p>
        </w:tc>
      </w:tr>
      <w:tr w:rsidR="00D11848" w:rsidRPr="005776CC" w:rsidTr="00B158AD">
        <w:tc>
          <w:tcPr>
            <w:tcW w:w="3227" w:type="dxa"/>
          </w:tcPr>
          <w:p w:rsidR="00D11848" w:rsidRPr="005776CC" w:rsidRDefault="00D11848" w:rsidP="00B76D6A">
            <w:pPr>
              <w:autoSpaceDE w:val="0"/>
              <w:autoSpaceDN w:val="0"/>
              <w:adjustRightInd w:val="0"/>
              <w:spacing w:after="0" w:line="360" w:lineRule="auto"/>
              <w:jc w:val="both"/>
              <w:rPr>
                <w:rFonts w:ascii="Times New Roman" w:hAnsi="Times New Roman" w:cs="Times New Roman"/>
                <w:sz w:val="24"/>
                <w:szCs w:val="24"/>
              </w:rPr>
            </w:pPr>
            <w:r w:rsidRPr="005776CC">
              <w:rPr>
                <w:rFonts w:ascii="Times New Roman" w:hAnsi="Times New Roman" w:cs="Times New Roman"/>
                <w:sz w:val="24"/>
                <w:szCs w:val="24"/>
              </w:rPr>
              <w:t>Power Plants</w:t>
            </w:r>
          </w:p>
        </w:tc>
        <w:tc>
          <w:tcPr>
            <w:tcW w:w="6015" w:type="dxa"/>
          </w:tcPr>
          <w:p w:rsidR="00D11848" w:rsidRPr="005776CC" w:rsidRDefault="00D11848" w:rsidP="00B76D6A">
            <w:pPr>
              <w:autoSpaceDE w:val="0"/>
              <w:autoSpaceDN w:val="0"/>
              <w:adjustRightInd w:val="0"/>
              <w:spacing w:after="0" w:line="360" w:lineRule="auto"/>
              <w:jc w:val="both"/>
              <w:rPr>
                <w:rFonts w:ascii="Times New Roman" w:hAnsi="Times New Roman" w:cs="Times New Roman"/>
                <w:sz w:val="24"/>
                <w:szCs w:val="24"/>
              </w:rPr>
            </w:pPr>
          </w:p>
        </w:tc>
      </w:tr>
      <w:tr w:rsidR="00D11848" w:rsidRPr="005776CC" w:rsidTr="00B158AD">
        <w:tc>
          <w:tcPr>
            <w:tcW w:w="3227" w:type="dxa"/>
          </w:tcPr>
          <w:p w:rsidR="00D11848" w:rsidRPr="005776CC" w:rsidRDefault="00D11848" w:rsidP="00B76D6A">
            <w:pPr>
              <w:autoSpaceDE w:val="0"/>
              <w:autoSpaceDN w:val="0"/>
              <w:adjustRightInd w:val="0"/>
              <w:spacing w:after="0" w:line="360" w:lineRule="auto"/>
              <w:jc w:val="both"/>
              <w:rPr>
                <w:rFonts w:ascii="Times New Roman" w:hAnsi="Times New Roman" w:cs="Times New Roman"/>
                <w:sz w:val="24"/>
                <w:szCs w:val="24"/>
              </w:rPr>
            </w:pPr>
            <w:r w:rsidRPr="005776CC">
              <w:rPr>
                <w:rFonts w:ascii="Times New Roman" w:hAnsi="Times New Roman" w:cs="Times New Roman"/>
                <w:sz w:val="24"/>
                <w:szCs w:val="24"/>
              </w:rPr>
              <w:t>Renewable Energy</w:t>
            </w:r>
          </w:p>
        </w:tc>
        <w:tc>
          <w:tcPr>
            <w:tcW w:w="6015" w:type="dxa"/>
          </w:tcPr>
          <w:p w:rsidR="00D11848" w:rsidRPr="005776CC" w:rsidRDefault="00D11848" w:rsidP="00B76D6A">
            <w:pPr>
              <w:autoSpaceDE w:val="0"/>
              <w:autoSpaceDN w:val="0"/>
              <w:adjustRightInd w:val="0"/>
              <w:spacing w:after="0" w:line="240" w:lineRule="auto"/>
              <w:jc w:val="both"/>
              <w:rPr>
                <w:rFonts w:ascii="Times New Roman" w:eastAsia="Times New Roman" w:hAnsi="Times New Roman" w:cs="Times New Roman"/>
                <w:sz w:val="24"/>
                <w:szCs w:val="24"/>
              </w:rPr>
            </w:pPr>
            <w:r w:rsidRPr="005776CC">
              <w:rPr>
                <w:rFonts w:ascii="Times New Roman" w:eastAsia="Times New Roman" w:hAnsi="Times New Roman" w:cs="Times New Roman"/>
                <w:sz w:val="24"/>
                <w:szCs w:val="24"/>
              </w:rPr>
              <w:t>The Electricity Act 2003 together with the National</w:t>
            </w:r>
          </w:p>
          <w:p w:rsidR="00D11848" w:rsidRPr="005776CC" w:rsidRDefault="00D11848" w:rsidP="00B76D6A">
            <w:pPr>
              <w:autoSpaceDE w:val="0"/>
              <w:autoSpaceDN w:val="0"/>
              <w:adjustRightInd w:val="0"/>
              <w:spacing w:after="0" w:line="240" w:lineRule="auto"/>
              <w:jc w:val="both"/>
              <w:rPr>
                <w:rFonts w:ascii="Times New Roman" w:eastAsia="Times New Roman" w:hAnsi="Times New Roman" w:cs="Times New Roman"/>
                <w:sz w:val="24"/>
                <w:szCs w:val="24"/>
              </w:rPr>
            </w:pPr>
            <w:r w:rsidRPr="005776CC">
              <w:rPr>
                <w:rFonts w:ascii="Times New Roman" w:eastAsia="Times New Roman" w:hAnsi="Times New Roman" w:cs="Times New Roman"/>
                <w:sz w:val="24"/>
                <w:szCs w:val="24"/>
              </w:rPr>
              <w:t>Electricity Policy 2005 (NEP) and the Tariff Policy</w:t>
            </w:r>
          </w:p>
          <w:p w:rsidR="00D11848" w:rsidRPr="005776CC" w:rsidRDefault="00D11848" w:rsidP="00B76D6A">
            <w:pPr>
              <w:autoSpaceDE w:val="0"/>
              <w:autoSpaceDN w:val="0"/>
              <w:adjustRightInd w:val="0"/>
              <w:spacing w:after="0" w:line="240" w:lineRule="auto"/>
              <w:jc w:val="both"/>
              <w:rPr>
                <w:rFonts w:ascii="Times New Roman" w:eastAsia="Times New Roman" w:hAnsi="Times New Roman" w:cs="Times New Roman"/>
                <w:sz w:val="24"/>
                <w:szCs w:val="24"/>
              </w:rPr>
            </w:pPr>
            <w:r w:rsidRPr="005776CC">
              <w:rPr>
                <w:rFonts w:ascii="Times New Roman" w:eastAsia="Times New Roman" w:hAnsi="Times New Roman" w:cs="Times New Roman"/>
                <w:sz w:val="24"/>
                <w:szCs w:val="24"/>
              </w:rPr>
              <w:t>(TP)</w:t>
            </w:r>
          </w:p>
          <w:p w:rsidR="00D11848" w:rsidRPr="005776CC" w:rsidRDefault="00D11848" w:rsidP="00B76D6A">
            <w:pPr>
              <w:autoSpaceDE w:val="0"/>
              <w:autoSpaceDN w:val="0"/>
              <w:adjustRightInd w:val="0"/>
              <w:spacing w:after="0" w:line="360" w:lineRule="auto"/>
              <w:jc w:val="both"/>
              <w:rPr>
                <w:rFonts w:ascii="Times New Roman" w:hAnsi="Times New Roman" w:cs="Times New Roman"/>
                <w:sz w:val="24"/>
                <w:szCs w:val="24"/>
              </w:rPr>
            </w:pPr>
          </w:p>
        </w:tc>
      </w:tr>
      <w:tr w:rsidR="00D11848" w:rsidRPr="005776CC" w:rsidTr="00B158AD">
        <w:tc>
          <w:tcPr>
            <w:tcW w:w="3227" w:type="dxa"/>
          </w:tcPr>
          <w:p w:rsidR="00D11848" w:rsidRPr="005776CC" w:rsidRDefault="00D11848" w:rsidP="00B76D6A">
            <w:pPr>
              <w:autoSpaceDE w:val="0"/>
              <w:autoSpaceDN w:val="0"/>
              <w:adjustRightInd w:val="0"/>
              <w:spacing w:after="0" w:line="360" w:lineRule="auto"/>
              <w:jc w:val="both"/>
              <w:rPr>
                <w:rFonts w:ascii="Times New Roman" w:hAnsi="Times New Roman" w:cs="Times New Roman"/>
                <w:sz w:val="24"/>
                <w:szCs w:val="24"/>
              </w:rPr>
            </w:pPr>
            <w:r w:rsidRPr="005776CC">
              <w:rPr>
                <w:rFonts w:ascii="Times New Roman" w:hAnsi="Times New Roman" w:cs="Times New Roman"/>
                <w:sz w:val="24"/>
                <w:szCs w:val="24"/>
              </w:rPr>
              <w:t>Nuclear Energy</w:t>
            </w:r>
          </w:p>
        </w:tc>
        <w:tc>
          <w:tcPr>
            <w:tcW w:w="6015" w:type="dxa"/>
          </w:tcPr>
          <w:p w:rsidR="00D11848" w:rsidRPr="005776CC" w:rsidRDefault="00D11848" w:rsidP="00B76D6A">
            <w:pPr>
              <w:autoSpaceDE w:val="0"/>
              <w:autoSpaceDN w:val="0"/>
              <w:adjustRightInd w:val="0"/>
              <w:spacing w:after="0" w:line="240" w:lineRule="auto"/>
              <w:jc w:val="both"/>
              <w:rPr>
                <w:rFonts w:ascii="Times New Roman" w:eastAsia="Times New Roman" w:hAnsi="Times New Roman" w:cs="Times New Roman"/>
                <w:sz w:val="24"/>
                <w:szCs w:val="24"/>
              </w:rPr>
            </w:pPr>
            <w:r w:rsidRPr="005776CC">
              <w:rPr>
                <w:rFonts w:ascii="Times New Roman" w:eastAsia="Times New Roman" w:hAnsi="Times New Roman" w:cs="Times New Roman"/>
                <w:sz w:val="24"/>
                <w:szCs w:val="24"/>
              </w:rPr>
              <w:t xml:space="preserve">Three-stage nuclear power programme </w:t>
            </w:r>
          </w:p>
          <w:p w:rsidR="00D11848" w:rsidRPr="005776CC" w:rsidRDefault="00D11848" w:rsidP="00B76D6A">
            <w:pPr>
              <w:autoSpaceDE w:val="0"/>
              <w:autoSpaceDN w:val="0"/>
              <w:adjustRightInd w:val="0"/>
              <w:spacing w:after="0" w:line="360" w:lineRule="auto"/>
              <w:jc w:val="both"/>
              <w:rPr>
                <w:rFonts w:ascii="Times New Roman" w:hAnsi="Times New Roman" w:cs="Times New Roman"/>
                <w:sz w:val="24"/>
                <w:szCs w:val="24"/>
              </w:rPr>
            </w:pPr>
          </w:p>
        </w:tc>
      </w:tr>
      <w:tr w:rsidR="00D11848" w:rsidRPr="005776CC" w:rsidTr="00B158AD">
        <w:tc>
          <w:tcPr>
            <w:tcW w:w="3227" w:type="dxa"/>
          </w:tcPr>
          <w:p w:rsidR="00D11848" w:rsidRPr="005776CC" w:rsidRDefault="00D11848" w:rsidP="00B76D6A">
            <w:pPr>
              <w:autoSpaceDE w:val="0"/>
              <w:autoSpaceDN w:val="0"/>
              <w:adjustRightInd w:val="0"/>
              <w:spacing w:after="0" w:line="360" w:lineRule="auto"/>
              <w:jc w:val="both"/>
              <w:rPr>
                <w:rFonts w:ascii="Times New Roman" w:hAnsi="Times New Roman" w:cs="Times New Roman"/>
                <w:sz w:val="24"/>
                <w:szCs w:val="24"/>
              </w:rPr>
            </w:pPr>
            <w:r w:rsidRPr="005776CC">
              <w:rPr>
                <w:rFonts w:ascii="Times New Roman" w:hAnsi="Times New Roman" w:cs="Times New Roman"/>
                <w:sz w:val="24"/>
                <w:szCs w:val="24"/>
              </w:rPr>
              <w:t>Transport</w:t>
            </w:r>
          </w:p>
        </w:tc>
        <w:tc>
          <w:tcPr>
            <w:tcW w:w="6015" w:type="dxa"/>
          </w:tcPr>
          <w:p w:rsidR="00D11848" w:rsidRPr="005776CC" w:rsidRDefault="00D11848" w:rsidP="00B76D6A">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5776CC">
              <w:rPr>
                <w:rFonts w:ascii="Times New Roman" w:eastAsia="Times New Roman" w:hAnsi="Times New Roman" w:cs="Times New Roman"/>
                <w:sz w:val="24"/>
                <w:szCs w:val="24"/>
              </w:rPr>
              <w:t>Upgradation</w:t>
            </w:r>
            <w:proofErr w:type="spellEnd"/>
            <w:r w:rsidRPr="005776CC">
              <w:rPr>
                <w:rFonts w:ascii="Times New Roman" w:eastAsia="Times New Roman" w:hAnsi="Times New Roman" w:cs="Times New Roman"/>
                <w:sz w:val="24"/>
                <w:szCs w:val="24"/>
              </w:rPr>
              <w:t xml:space="preserve"> of vehicular emission norms such as Bharat Stage II, Bharat Stage III and Bharat Stage IV. The</w:t>
            </w:r>
          </w:p>
        </w:tc>
      </w:tr>
      <w:tr w:rsidR="00D11848" w:rsidRPr="005776CC" w:rsidTr="00B158AD">
        <w:trPr>
          <w:trHeight w:val="485"/>
        </w:trPr>
        <w:tc>
          <w:tcPr>
            <w:tcW w:w="3227" w:type="dxa"/>
          </w:tcPr>
          <w:p w:rsidR="00D11848" w:rsidRPr="005776CC" w:rsidRDefault="00D11848" w:rsidP="00B76D6A">
            <w:pPr>
              <w:autoSpaceDE w:val="0"/>
              <w:autoSpaceDN w:val="0"/>
              <w:adjustRightInd w:val="0"/>
              <w:spacing w:after="0" w:line="360" w:lineRule="auto"/>
              <w:jc w:val="both"/>
              <w:rPr>
                <w:rFonts w:ascii="Times New Roman" w:hAnsi="Times New Roman" w:cs="Times New Roman"/>
                <w:sz w:val="24"/>
                <w:szCs w:val="24"/>
              </w:rPr>
            </w:pPr>
            <w:r w:rsidRPr="005776CC">
              <w:rPr>
                <w:rFonts w:ascii="Times New Roman" w:hAnsi="Times New Roman" w:cs="Times New Roman"/>
                <w:sz w:val="24"/>
                <w:szCs w:val="24"/>
              </w:rPr>
              <w:t>Agriculture and Forestry</w:t>
            </w:r>
          </w:p>
        </w:tc>
        <w:tc>
          <w:tcPr>
            <w:tcW w:w="6015" w:type="dxa"/>
          </w:tcPr>
          <w:p w:rsidR="00D11848" w:rsidRPr="005776CC" w:rsidRDefault="00D11848" w:rsidP="00B76D6A">
            <w:pPr>
              <w:autoSpaceDE w:val="0"/>
              <w:autoSpaceDN w:val="0"/>
              <w:adjustRightInd w:val="0"/>
              <w:spacing w:after="0" w:line="240" w:lineRule="auto"/>
              <w:jc w:val="both"/>
              <w:rPr>
                <w:rFonts w:ascii="Times New Roman" w:eastAsia="Times New Roman" w:hAnsi="Times New Roman" w:cs="Times New Roman"/>
                <w:sz w:val="24"/>
                <w:szCs w:val="24"/>
              </w:rPr>
            </w:pPr>
            <w:r w:rsidRPr="005776CC">
              <w:rPr>
                <w:rFonts w:ascii="Times New Roman" w:eastAsia="Times New Roman" w:hAnsi="Times New Roman" w:cs="Times New Roman"/>
                <w:sz w:val="24"/>
                <w:szCs w:val="24"/>
              </w:rPr>
              <w:t xml:space="preserve">National </w:t>
            </w:r>
            <w:smartTag w:uri="urn:schemas-microsoft-com:office:smarttags" w:element="City">
              <w:r w:rsidRPr="005776CC">
                <w:rPr>
                  <w:rFonts w:ascii="Times New Roman" w:eastAsia="Times New Roman" w:hAnsi="Times New Roman" w:cs="Times New Roman"/>
                  <w:sz w:val="24"/>
                  <w:szCs w:val="24"/>
                </w:rPr>
                <w:t>Mission</w:t>
              </w:r>
            </w:smartTag>
            <w:r w:rsidRPr="005776CC">
              <w:rPr>
                <w:rFonts w:ascii="Times New Roman" w:eastAsia="Times New Roman" w:hAnsi="Times New Roman" w:cs="Times New Roman"/>
                <w:sz w:val="24"/>
                <w:szCs w:val="24"/>
              </w:rPr>
              <w:t xml:space="preserve"> for Sustainable Agriculture, National Forest Policy (1988), Participatory Forest Management/Joint </w:t>
            </w:r>
            <w:smartTag w:uri="urn:schemas-microsoft-com:office:smarttags" w:element="place">
              <w:r w:rsidRPr="005776CC">
                <w:rPr>
                  <w:rFonts w:ascii="Times New Roman" w:eastAsia="Times New Roman" w:hAnsi="Times New Roman" w:cs="Times New Roman"/>
                  <w:sz w:val="24"/>
                  <w:szCs w:val="24"/>
                </w:rPr>
                <w:t>Forest</w:t>
              </w:r>
            </w:smartTag>
            <w:r w:rsidRPr="005776CC">
              <w:rPr>
                <w:rFonts w:ascii="Times New Roman" w:eastAsia="Times New Roman" w:hAnsi="Times New Roman" w:cs="Times New Roman"/>
                <w:sz w:val="24"/>
                <w:szCs w:val="24"/>
              </w:rPr>
              <w:t xml:space="preserve"> Management Programme, National </w:t>
            </w:r>
            <w:proofErr w:type="spellStart"/>
            <w:r w:rsidRPr="005776CC">
              <w:rPr>
                <w:rFonts w:ascii="Times New Roman" w:eastAsia="Times New Roman" w:hAnsi="Times New Roman" w:cs="Times New Roman"/>
                <w:sz w:val="24"/>
                <w:szCs w:val="24"/>
              </w:rPr>
              <w:t>Afforestation</w:t>
            </w:r>
            <w:proofErr w:type="spellEnd"/>
            <w:r w:rsidRPr="005776CC">
              <w:rPr>
                <w:rFonts w:ascii="Times New Roman" w:eastAsia="Times New Roman" w:hAnsi="Times New Roman" w:cs="Times New Roman"/>
                <w:sz w:val="24"/>
                <w:szCs w:val="24"/>
              </w:rPr>
              <w:t xml:space="preserve"> Programme, National Forestry</w:t>
            </w:r>
          </w:p>
          <w:p w:rsidR="00D11848" w:rsidRPr="00B158AD" w:rsidRDefault="00D11848" w:rsidP="00B158AD">
            <w:pPr>
              <w:autoSpaceDE w:val="0"/>
              <w:autoSpaceDN w:val="0"/>
              <w:adjustRightInd w:val="0"/>
              <w:spacing w:after="0" w:line="240" w:lineRule="auto"/>
              <w:jc w:val="both"/>
              <w:rPr>
                <w:rFonts w:ascii="Times New Roman" w:eastAsia="Times New Roman" w:hAnsi="Times New Roman" w:cs="Times New Roman"/>
                <w:sz w:val="24"/>
                <w:szCs w:val="24"/>
              </w:rPr>
            </w:pPr>
            <w:r w:rsidRPr="005776CC">
              <w:rPr>
                <w:rFonts w:ascii="Times New Roman" w:eastAsia="Times New Roman" w:hAnsi="Times New Roman" w:cs="Times New Roman"/>
                <w:sz w:val="24"/>
                <w:szCs w:val="24"/>
              </w:rPr>
              <w:t>Action Programme, and National Watershed Development Project</w:t>
            </w:r>
          </w:p>
        </w:tc>
      </w:tr>
      <w:tr w:rsidR="00D11848" w:rsidRPr="005776CC" w:rsidTr="00B158AD">
        <w:trPr>
          <w:trHeight w:val="728"/>
        </w:trPr>
        <w:tc>
          <w:tcPr>
            <w:tcW w:w="3227" w:type="dxa"/>
          </w:tcPr>
          <w:p w:rsidR="00D11848" w:rsidRPr="005776CC" w:rsidRDefault="00D11848" w:rsidP="00B158AD">
            <w:pPr>
              <w:autoSpaceDE w:val="0"/>
              <w:autoSpaceDN w:val="0"/>
              <w:adjustRightInd w:val="0"/>
              <w:spacing w:after="0" w:line="240" w:lineRule="auto"/>
              <w:jc w:val="both"/>
              <w:rPr>
                <w:rFonts w:ascii="Times New Roman" w:hAnsi="Times New Roman" w:cs="Times New Roman"/>
                <w:sz w:val="24"/>
                <w:szCs w:val="24"/>
              </w:rPr>
            </w:pPr>
            <w:r w:rsidRPr="005776CC">
              <w:rPr>
                <w:rFonts w:ascii="Times New Roman" w:hAnsi="Times New Roman" w:cs="Times New Roman"/>
                <w:sz w:val="24"/>
                <w:szCs w:val="24"/>
              </w:rPr>
              <w:t>Marine and Coastal Environment</w:t>
            </w:r>
          </w:p>
        </w:tc>
        <w:tc>
          <w:tcPr>
            <w:tcW w:w="6015" w:type="dxa"/>
          </w:tcPr>
          <w:p w:rsidR="00D11848" w:rsidRPr="005776CC" w:rsidRDefault="00D11848" w:rsidP="00B76D6A">
            <w:pPr>
              <w:autoSpaceDE w:val="0"/>
              <w:autoSpaceDN w:val="0"/>
              <w:adjustRightInd w:val="0"/>
              <w:spacing w:after="0" w:line="240" w:lineRule="auto"/>
              <w:jc w:val="both"/>
              <w:rPr>
                <w:rFonts w:ascii="Times New Roman" w:eastAsia="Times New Roman" w:hAnsi="Times New Roman" w:cs="Times New Roman"/>
                <w:sz w:val="24"/>
                <w:szCs w:val="24"/>
              </w:rPr>
            </w:pPr>
            <w:r w:rsidRPr="005776CC">
              <w:rPr>
                <w:rFonts w:ascii="Times New Roman" w:eastAsia="Times New Roman" w:hAnsi="Times New Roman" w:cs="Times New Roman"/>
                <w:sz w:val="24"/>
                <w:szCs w:val="24"/>
              </w:rPr>
              <w:t>Coastal Ocean Monitoring and Prediction Systems (COMAPS),</w:t>
            </w:r>
            <w:smartTag w:uri="urn:schemas-microsoft-com:office:smarttags" w:element="place">
              <w:smartTag w:uri="urn:schemas-microsoft-com:office:smarttags" w:element="PlaceType">
                <w:r w:rsidRPr="005776CC">
                  <w:rPr>
                    <w:rFonts w:ascii="Times New Roman" w:eastAsia="Times New Roman" w:hAnsi="Times New Roman" w:cs="Times New Roman"/>
                    <w:sz w:val="24"/>
                    <w:szCs w:val="24"/>
                  </w:rPr>
                  <w:t>Land</w:t>
                </w:r>
              </w:smartTag>
              <w:r w:rsidRPr="005776CC">
                <w:rPr>
                  <w:rFonts w:ascii="Times New Roman" w:eastAsia="Times New Roman" w:hAnsi="Times New Roman" w:cs="Times New Roman"/>
                  <w:sz w:val="24"/>
                  <w:szCs w:val="24"/>
                </w:rPr>
                <w:t xml:space="preserve"> </w:t>
              </w:r>
              <w:smartTag w:uri="urn:schemas-microsoft-com:office:smarttags" w:element="PlaceType">
                <w:r w:rsidRPr="005776CC">
                  <w:rPr>
                    <w:rFonts w:ascii="Times New Roman" w:eastAsia="Times New Roman" w:hAnsi="Times New Roman" w:cs="Times New Roman"/>
                    <w:sz w:val="24"/>
                    <w:szCs w:val="24"/>
                  </w:rPr>
                  <w:t>Ocean</w:t>
                </w:r>
              </w:smartTag>
            </w:smartTag>
            <w:r w:rsidRPr="005776CC">
              <w:rPr>
                <w:rFonts w:ascii="Times New Roman" w:eastAsia="Times New Roman" w:hAnsi="Times New Roman" w:cs="Times New Roman"/>
                <w:sz w:val="24"/>
                <w:szCs w:val="24"/>
              </w:rPr>
              <w:t xml:space="preserve"> Interactions in the Coastal Zone (LOICZ),Integrated Coastal and Marine Area Management (ICMAM), and Society of Integrated</w:t>
            </w:r>
          </w:p>
          <w:p w:rsidR="00D11848" w:rsidRPr="005776CC" w:rsidRDefault="00D11848" w:rsidP="00B76D6A">
            <w:pPr>
              <w:autoSpaceDE w:val="0"/>
              <w:autoSpaceDN w:val="0"/>
              <w:adjustRightInd w:val="0"/>
              <w:spacing w:after="0" w:line="240" w:lineRule="auto"/>
              <w:jc w:val="both"/>
              <w:rPr>
                <w:rFonts w:ascii="Times New Roman" w:eastAsia="Times New Roman" w:hAnsi="Times New Roman" w:cs="Times New Roman"/>
                <w:sz w:val="24"/>
                <w:szCs w:val="24"/>
              </w:rPr>
            </w:pPr>
            <w:r w:rsidRPr="005776CC">
              <w:rPr>
                <w:rFonts w:ascii="Times New Roman" w:eastAsia="Times New Roman" w:hAnsi="Times New Roman" w:cs="Times New Roman"/>
                <w:sz w:val="24"/>
                <w:szCs w:val="24"/>
              </w:rPr>
              <w:t>Coastal Management (SICOM).</w:t>
            </w:r>
          </w:p>
        </w:tc>
      </w:tr>
      <w:tr w:rsidR="00D11848" w:rsidRPr="005776CC" w:rsidTr="00B158AD">
        <w:tc>
          <w:tcPr>
            <w:tcW w:w="3227" w:type="dxa"/>
          </w:tcPr>
          <w:p w:rsidR="00D11848" w:rsidRPr="005776CC" w:rsidRDefault="00D11848" w:rsidP="00B158AD">
            <w:pPr>
              <w:autoSpaceDE w:val="0"/>
              <w:autoSpaceDN w:val="0"/>
              <w:adjustRightInd w:val="0"/>
              <w:spacing w:after="0" w:line="240" w:lineRule="auto"/>
              <w:jc w:val="both"/>
              <w:rPr>
                <w:rFonts w:ascii="Times New Roman" w:hAnsi="Times New Roman" w:cs="Times New Roman"/>
                <w:sz w:val="24"/>
                <w:szCs w:val="24"/>
              </w:rPr>
            </w:pPr>
            <w:r w:rsidRPr="005776CC">
              <w:rPr>
                <w:rFonts w:ascii="Times New Roman" w:hAnsi="Times New Roman" w:cs="Times New Roman"/>
                <w:sz w:val="24"/>
                <w:szCs w:val="24"/>
              </w:rPr>
              <w:t>Initiatives for Enhancing Knowledge and Scientific findings</w:t>
            </w:r>
          </w:p>
        </w:tc>
        <w:tc>
          <w:tcPr>
            <w:tcW w:w="6015" w:type="dxa"/>
          </w:tcPr>
          <w:p w:rsidR="00D11848" w:rsidRPr="005776CC" w:rsidRDefault="00D11848" w:rsidP="00B76D6A">
            <w:pPr>
              <w:autoSpaceDE w:val="0"/>
              <w:autoSpaceDN w:val="0"/>
              <w:adjustRightInd w:val="0"/>
              <w:spacing w:after="0" w:line="240" w:lineRule="auto"/>
              <w:jc w:val="both"/>
              <w:rPr>
                <w:rFonts w:ascii="Times New Roman" w:eastAsia="Times New Roman" w:hAnsi="Times New Roman" w:cs="Times New Roman"/>
                <w:sz w:val="24"/>
                <w:szCs w:val="24"/>
              </w:rPr>
            </w:pPr>
            <w:r w:rsidRPr="005776CC">
              <w:rPr>
                <w:rFonts w:ascii="Times New Roman" w:eastAsia="Times New Roman" w:hAnsi="Times New Roman" w:cs="Times New Roman"/>
                <w:sz w:val="24"/>
                <w:szCs w:val="24"/>
              </w:rPr>
              <w:t xml:space="preserve">National </w:t>
            </w:r>
            <w:smartTag w:uri="urn:schemas-microsoft-com:office:smarttags" w:element="City">
              <w:smartTag w:uri="urn:schemas-microsoft-com:office:smarttags" w:element="place">
                <w:r w:rsidRPr="005776CC">
                  <w:rPr>
                    <w:rFonts w:ascii="Times New Roman" w:eastAsia="Times New Roman" w:hAnsi="Times New Roman" w:cs="Times New Roman"/>
                    <w:sz w:val="24"/>
                    <w:szCs w:val="24"/>
                  </w:rPr>
                  <w:t>Mission</w:t>
                </w:r>
              </w:smartTag>
            </w:smartTag>
            <w:r w:rsidRPr="005776CC">
              <w:rPr>
                <w:rFonts w:ascii="Times New Roman" w:eastAsia="Times New Roman" w:hAnsi="Times New Roman" w:cs="Times New Roman"/>
                <w:sz w:val="24"/>
                <w:szCs w:val="24"/>
              </w:rPr>
              <w:t xml:space="preserve"> on Strategic Knowledge for Climate Change,</w:t>
            </w:r>
          </w:p>
          <w:p w:rsidR="00D11848" w:rsidRPr="005776CC" w:rsidRDefault="00D11848" w:rsidP="00B76D6A">
            <w:pPr>
              <w:autoSpaceDE w:val="0"/>
              <w:autoSpaceDN w:val="0"/>
              <w:adjustRightInd w:val="0"/>
              <w:spacing w:after="0" w:line="360" w:lineRule="auto"/>
              <w:jc w:val="both"/>
              <w:rPr>
                <w:rFonts w:ascii="Times New Roman" w:hAnsi="Times New Roman" w:cs="Times New Roman"/>
                <w:sz w:val="24"/>
                <w:szCs w:val="24"/>
              </w:rPr>
            </w:pPr>
          </w:p>
        </w:tc>
      </w:tr>
    </w:tbl>
    <w:p w:rsidR="00D11848" w:rsidRPr="005776CC" w:rsidRDefault="00D11848" w:rsidP="00D11848">
      <w:pPr>
        <w:spacing w:line="360" w:lineRule="auto"/>
        <w:jc w:val="both"/>
        <w:rPr>
          <w:rFonts w:ascii="Times New Roman" w:hAnsi="Times New Roman" w:cs="Times New Roman"/>
          <w:bCs/>
          <w:sz w:val="24"/>
          <w:szCs w:val="24"/>
        </w:rPr>
      </w:pPr>
      <w:r w:rsidRPr="005776CC">
        <w:rPr>
          <w:rFonts w:ascii="Times New Roman" w:hAnsi="Times New Roman" w:cs="Times New Roman"/>
          <w:bCs/>
          <w:sz w:val="24"/>
          <w:szCs w:val="24"/>
        </w:rPr>
        <w:t>Source: Economic Survey</w:t>
      </w:r>
      <w:r w:rsidR="00993042">
        <w:rPr>
          <w:rFonts w:ascii="Times New Roman" w:hAnsi="Times New Roman" w:cs="Times New Roman"/>
          <w:bCs/>
          <w:sz w:val="24"/>
          <w:szCs w:val="24"/>
        </w:rPr>
        <w:t>, GOI</w:t>
      </w:r>
      <w:r w:rsidRPr="005776CC">
        <w:rPr>
          <w:rFonts w:ascii="Times New Roman" w:hAnsi="Times New Roman" w:cs="Times New Roman"/>
          <w:bCs/>
          <w:sz w:val="24"/>
          <w:szCs w:val="24"/>
        </w:rPr>
        <w:t xml:space="preserve"> (2012)</w:t>
      </w:r>
    </w:p>
    <w:p w:rsidR="00D11848" w:rsidRPr="005C6A76" w:rsidRDefault="003D5178" w:rsidP="00FF1E49">
      <w:pPr>
        <w:spacing w:after="0" w:line="360" w:lineRule="auto"/>
        <w:jc w:val="both"/>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br w:type="column"/>
      </w:r>
      <w:r w:rsidR="00993042" w:rsidRPr="005C6A76">
        <w:rPr>
          <w:rFonts w:ascii="Times New Roman" w:eastAsia="Times New Roman" w:hAnsi="Times New Roman" w:cs="Times New Roman"/>
          <w:b/>
          <w:color w:val="0E101A"/>
          <w:sz w:val="24"/>
          <w:szCs w:val="24"/>
        </w:rPr>
        <w:lastRenderedPageBreak/>
        <w:t>References:</w:t>
      </w:r>
    </w:p>
    <w:p w:rsidR="00993042" w:rsidRPr="00DC4740" w:rsidRDefault="00993042" w:rsidP="00DC4740">
      <w:pPr>
        <w:pStyle w:val="ListParagraph"/>
        <w:numPr>
          <w:ilvl w:val="0"/>
          <w:numId w:val="13"/>
        </w:numPr>
        <w:spacing w:line="360" w:lineRule="auto"/>
        <w:jc w:val="both"/>
        <w:rPr>
          <w:rFonts w:ascii="Times New Roman" w:hAnsi="Times New Roman" w:cs="Times New Roman"/>
          <w:sz w:val="24"/>
          <w:szCs w:val="24"/>
        </w:rPr>
      </w:pPr>
      <w:r w:rsidRPr="00DC4740">
        <w:rPr>
          <w:rFonts w:ascii="Times New Roman" w:hAnsi="Times New Roman" w:cs="Times New Roman"/>
          <w:color w:val="222222"/>
          <w:sz w:val="24"/>
          <w:szCs w:val="24"/>
          <w:shd w:val="clear" w:color="auto" w:fill="FFFFFF"/>
        </w:rPr>
        <w:t>Harris, J. M., &amp; Roach, B. (2013). </w:t>
      </w:r>
      <w:r w:rsidRPr="00DC4740">
        <w:rPr>
          <w:rFonts w:ascii="Times New Roman" w:hAnsi="Times New Roman" w:cs="Times New Roman"/>
          <w:i/>
          <w:iCs/>
          <w:color w:val="222222"/>
          <w:sz w:val="24"/>
          <w:szCs w:val="24"/>
          <w:shd w:val="clear" w:color="auto" w:fill="FFFFFF"/>
        </w:rPr>
        <w:t>Environmental and natural resource economics: A contemporary approach</w:t>
      </w:r>
      <w:r w:rsidRPr="00DC4740">
        <w:rPr>
          <w:rFonts w:ascii="Times New Roman" w:hAnsi="Times New Roman" w:cs="Times New Roman"/>
          <w:color w:val="222222"/>
          <w:sz w:val="24"/>
          <w:szCs w:val="24"/>
          <w:shd w:val="clear" w:color="auto" w:fill="FFFFFF"/>
        </w:rPr>
        <w:t>. ME Sharpe.</w:t>
      </w:r>
    </w:p>
    <w:p w:rsidR="005C6A76" w:rsidRPr="005C6A76" w:rsidRDefault="00FA0148" w:rsidP="00DC4740">
      <w:pPr>
        <w:pStyle w:val="ListParagraph"/>
        <w:numPr>
          <w:ilvl w:val="0"/>
          <w:numId w:val="13"/>
        </w:numPr>
        <w:autoSpaceDE w:val="0"/>
        <w:autoSpaceDN w:val="0"/>
        <w:adjustRightInd w:val="0"/>
        <w:spacing w:after="0" w:line="360" w:lineRule="auto"/>
        <w:rPr>
          <w:rFonts w:ascii="Times New Roman" w:hAnsi="Times New Roman" w:cs="Times New Roman"/>
          <w:i/>
          <w:iCs/>
          <w:sz w:val="24"/>
          <w:szCs w:val="24"/>
        </w:rPr>
      </w:pPr>
      <w:r w:rsidRPr="005C6A76">
        <w:rPr>
          <w:rFonts w:ascii="Times New Roman" w:hAnsi="Times New Roman" w:cs="Times New Roman"/>
          <w:color w:val="222222"/>
          <w:sz w:val="24"/>
          <w:szCs w:val="24"/>
          <w:shd w:val="clear" w:color="auto" w:fill="FFFFFF"/>
        </w:rPr>
        <w:t xml:space="preserve">Harris, Jonathan M., Brian Roach, </w:t>
      </w:r>
      <w:proofErr w:type="spellStart"/>
      <w:r w:rsidRPr="005C6A76">
        <w:rPr>
          <w:rFonts w:ascii="Times New Roman" w:hAnsi="Times New Roman" w:cs="Times New Roman"/>
          <w:color w:val="222222"/>
          <w:sz w:val="24"/>
          <w:szCs w:val="24"/>
          <w:shd w:val="clear" w:color="auto" w:fill="FFFFFF"/>
        </w:rPr>
        <w:t>Pratistha</w:t>
      </w:r>
      <w:proofErr w:type="spellEnd"/>
      <w:r w:rsidRPr="005C6A76">
        <w:rPr>
          <w:rFonts w:ascii="Times New Roman" w:hAnsi="Times New Roman" w:cs="Times New Roman"/>
          <w:color w:val="222222"/>
          <w:sz w:val="24"/>
          <w:szCs w:val="24"/>
          <w:shd w:val="clear" w:color="auto" w:fill="FFFFFF"/>
        </w:rPr>
        <w:t xml:space="preserve"> Joshi </w:t>
      </w:r>
      <w:proofErr w:type="spellStart"/>
      <w:r w:rsidRPr="005C6A76">
        <w:rPr>
          <w:rFonts w:ascii="Times New Roman" w:hAnsi="Times New Roman" w:cs="Times New Roman"/>
          <w:color w:val="222222"/>
          <w:sz w:val="24"/>
          <w:szCs w:val="24"/>
          <w:shd w:val="clear" w:color="auto" w:fill="FFFFFF"/>
        </w:rPr>
        <w:t>Rajkarnikar</w:t>
      </w:r>
      <w:proofErr w:type="spellEnd"/>
      <w:r w:rsidRPr="005C6A76">
        <w:rPr>
          <w:rFonts w:ascii="Times New Roman" w:hAnsi="Times New Roman" w:cs="Times New Roman"/>
          <w:color w:val="222222"/>
          <w:sz w:val="24"/>
          <w:szCs w:val="24"/>
          <w:shd w:val="clear" w:color="auto" w:fill="FFFFFF"/>
        </w:rPr>
        <w:t xml:space="preserve">, and Neva Goodwin. (2019)  "Growth and Sustainability in the Twenty-First Century." </w:t>
      </w:r>
    </w:p>
    <w:p w:rsidR="00D350FF" w:rsidRPr="005C6A76" w:rsidRDefault="00D350FF" w:rsidP="00DC4740">
      <w:pPr>
        <w:pStyle w:val="ListParagraph"/>
        <w:numPr>
          <w:ilvl w:val="0"/>
          <w:numId w:val="13"/>
        </w:numPr>
        <w:autoSpaceDE w:val="0"/>
        <w:autoSpaceDN w:val="0"/>
        <w:adjustRightInd w:val="0"/>
        <w:spacing w:after="0" w:line="360" w:lineRule="auto"/>
        <w:rPr>
          <w:rFonts w:ascii="Times New Roman" w:hAnsi="Times New Roman" w:cs="Times New Roman"/>
          <w:i/>
          <w:iCs/>
          <w:sz w:val="24"/>
          <w:szCs w:val="24"/>
        </w:rPr>
      </w:pPr>
      <w:r w:rsidRPr="005C6A76">
        <w:rPr>
          <w:rFonts w:ascii="Times New Roman" w:hAnsi="Times New Roman" w:cs="Times New Roman"/>
          <w:color w:val="222222"/>
          <w:sz w:val="24"/>
          <w:szCs w:val="24"/>
          <w:shd w:val="clear" w:color="auto" w:fill="FFFFFF"/>
        </w:rPr>
        <w:t xml:space="preserve">Goodwin, N., Nelson, J., Harris, J., </w:t>
      </w:r>
      <w:proofErr w:type="spellStart"/>
      <w:r w:rsidRPr="005C6A76">
        <w:rPr>
          <w:rFonts w:ascii="Times New Roman" w:hAnsi="Times New Roman" w:cs="Times New Roman"/>
          <w:color w:val="222222"/>
          <w:sz w:val="24"/>
          <w:szCs w:val="24"/>
          <w:shd w:val="clear" w:color="auto" w:fill="FFFFFF"/>
        </w:rPr>
        <w:t>Torras</w:t>
      </w:r>
      <w:proofErr w:type="spellEnd"/>
      <w:r w:rsidRPr="005C6A76">
        <w:rPr>
          <w:rFonts w:ascii="Times New Roman" w:hAnsi="Times New Roman" w:cs="Times New Roman"/>
          <w:color w:val="222222"/>
          <w:sz w:val="24"/>
          <w:szCs w:val="24"/>
          <w:shd w:val="clear" w:color="auto" w:fill="FFFFFF"/>
        </w:rPr>
        <w:t>, M., &amp; Roach, B. (2013). </w:t>
      </w:r>
      <w:r w:rsidRPr="005C6A76">
        <w:rPr>
          <w:rFonts w:ascii="Times New Roman" w:hAnsi="Times New Roman" w:cs="Times New Roman"/>
          <w:i/>
          <w:iCs/>
          <w:color w:val="222222"/>
          <w:sz w:val="24"/>
          <w:szCs w:val="24"/>
          <w:shd w:val="clear" w:color="auto" w:fill="FFFFFF"/>
        </w:rPr>
        <w:t>Macroeconomics in context</w:t>
      </w:r>
      <w:r w:rsidRPr="005C6A76">
        <w:rPr>
          <w:rFonts w:ascii="Times New Roman" w:hAnsi="Times New Roman" w:cs="Times New Roman"/>
          <w:color w:val="222222"/>
          <w:sz w:val="24"/>
          <w:szCs w:val="24"/>
          <w:shd w:val="clear" w:color="auto" w:fill="FFFFFF"/>
        </w:rPr>
        <w:t>. ME Sharpe.</w:t>
      </w:r>
    </w:p>
    <w:p w:rsidR="00993042" w:rsidRPr="00DC4740" w:rsidRDefault="00993042" w:rsidP="00DC4740">
      <w:pPr>
        <w:spacing w:after="0" w:line="360" w:lineRule="auto"/>
        <w:jc w:val="both"/>
        <w:rPr>
          <w:rFonts w:ascii="Times New Roman" w:eastAsia="Times New Roman" w:hAnsi="Times New Roman" w:cs="Times New Roman"/>
          <w:color w:val="0E101A"/>
          <w:sz w:val="24"/>
          <w:szCs w:val="24"/>
        </w:rPr>
      </w:pPr>
    </w:p>
    <w:sectPr w:rsidR="00993042" w:rsidRPr="00DC4740" w:rsidSect="00940AF9">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0F3B"/>
    <w:multiLevelType w:val="hybridMultilevel"/>
    <w:tmpl w:val="0DAE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14672"/>
    <w:multiLevelType w:val="hybridMultilevel"/>
    <w:tmpl w:val="BF6E5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34939"/>
    <w:multiLevelType w:val="singleLevel"/>
    <w:tmpl w:val="04090011"/>
    <w:lvl w:ilvl="0">
      <w:start w:val="1"/>
      <w:numFmt w:val="decimal"/>
      <w:lvlText w:val="%1)"/>
      <w:lvlJc w:val="left"/>
      <w:pPr>
        <w:tabs>
          <w:tab w:val="num" w:pos="360"/>
        </w:tabs>
        <w:ind w:left="360" w:hanging="360"/>
      </w:pPr>
      <w:rPr>
        <w:rFonts w:hint="default"/>
      </w:rPr>
    </w:lvl>
  </w:abstractNum>
  <w:abstractNum w:abstractNumId="3">
    <w:nsid w:val="226420DF"/>
    <w:multiLevelType w:val="singleLevel"/>
    <w:tmpl w:val="787CAD16"/>
    <w:lvl w:ilvl="0">
      <w:start w:val="1"/>
      <w:numFmt w:val="lowerRoman"/>
      <w:lvlText w:val="(%1)"/>
      <w:lvlJc w:val="left"/>
      <w:pPr>
        <w:tabs>
          <w:tab w:val="num" w:pos="1440"/>
        </w:tabs>
        <w:ind w:left="1440" w:hanging="720"/>
      </w:pPr>
      <w:rPr>
        <w:rFonts w:hint="default"/>
      </w:rPr>
    </w:lvl>
  </w:abstractNum>
  <w:abstractNum w:abstractNumId="4">
    <w:nsid w:val="3C61056A"/>
    <w:multiLevelType w:val="multilevel"/>
    <w:tmpl w:val="D244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F91FC0"/>
    <w:multiLevelType w:val="hybridMultilevel"/>
    <w:tmpl w:val="76DC5F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5A048EF"/>
    <w:multiLevelType w:val="multilevel"/>
    <w:tmpl w:val="9D2A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C1535B"/>
    <w:multiLevelType w:val="multilevel"/>
    <w:tmpl w:val="751AC6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C4388F"/>
    <w:multiLevelType w:val="hybridMultilevel"/>
    <w:tmpl w:val="F20C5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274376"/>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nsid w:val="78A64667"/>
    <w:multiLevelType w:val="hybridMultilevel"/>
    <w:tmpl w:val="4608F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9954A8"/>
    <w:multiLevelType w:val="hybridMultilevel"/>
    <w:tmpl w:val="353CABD0"/>
    <w:lvl w:ilvl="0" w:tplc="AE404270">
      <w:start w:val="1"/>
      <w:numFmt w:val="decimal"/>
      <w:lvlText w:val="%1."/>
      <w:lvlJc w:val="left"/>
      <w:pPr>
        <w:ind w:left="720" w:hanging="360"/>
      </w:pPr>
      <w:rPr>
        <w:rFonts w:ascii="Arial" w:hAnsi="Arial" w:cs="Arial" w:hint="default"/>
        <w:color w:val="222222"/>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CE81954"/>
    <w:multiLevelType w:val="hybridMultilevel"/>
    <w:tmpl w:val="CD18A43C"/>
    <w:lvl w:ilvl="0" w:tplc="4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
  </w:num>
  <w:num w:numId="5">
    <w:abstractNumId w:val="8"/>
  </w:num>
  <w:num w:numId="6">
    <w:abstractNumId w:val="7"/>
  </w:num>
  <w:num w:numId="7">
    <w:abstractNumId w:val="6"/>
  </w:num>
  <w:num w:numId="8">
    <w:abstractNumId w:val="4"/>
  </w:num>
  <w:num w:numId="9">
    <w:abstractNumId w:val="12"/>
  </w:num>
  <w:num w:numId="10">
    <w:abstractNumId w:val="9"/>
  </w:num>
  <w:num w:numId="11">
    <w:abstractNumId w:val="0"/>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useFELayout/>
  </w:compat>
  <w:rsids>
    <w:rsidRoot w:val="00A258A0"/>
    <w:rsid w:val="000131A9"/>
    <w:rsid w:val="0005005A"/>
    <w:rsid w:val="00074A79"/>
    <w:rsid w:val="000767CA"/>
    <w:rsid w:val="000844D3"/>
    <w:rsid w:val="00163E3B"/>
    <w:rsid w:val="001D06EF"/>
    <w:rsid w:val="0020265A"/>
    <w:rsid w:val="00250E19"/>
    <w:rsid w:val="0027239B"/>
    <w:rsid w:val="00352450"/>
    <w:rsid w:val="003D3487"/>
    <w:rsid w:val="003D5178"/>
    <w:rsid w:val="003E62D0"/>
    <w:rsid w:val="003F23CA"/>
    <w:rsid w:val="004439FE"/>
    <w:rsid w:val="00482173"/>
    <w:rsid w:val="004A4726"/>
    <w:rsid w:val="004D4406"/>
    <w:rsid w:val="004E614C"/>
    <w:rsid w:val="00502911"/>
    <w:rsid w:val="00532A12"/>
    <w:rsid w:val="005401E0"/>
    <w:rsid w:val="005C6A76"/>
    <w:rsid w:val="005F28F1"/>
    <w:rsid w:val="006C27C1"/>
    <w:rsid w:val="00857AD2"/>
    <w:rsid w:val="008D2F98"/>
    <w:rsid w:val="00940AF9"/>
    <w:rsid w:val="009825A1"/>
    <w:rsid w:val="00992522"/>
    <w:rsid w:val="00993042"/>
    <w:rsid w:val="009A5260"/>
    <w:rsid w:val="00A1063C"/>
    <w:rsid w:val="00A10F92"/>
    <w:rsid w:val="00A258A0"/>
    <w:rsid w:val="00AC5240"/>
    <w:rsid w:val="00B158AD"/>
    <w:rsid w:val="00B42606"/>
    <w:rsid w:val="00BD2779"/>
    <w:rsid w:val="00BE1E13"/>
    <w:rsid w:val="00C53867"/>
    <w:rsid w:val="00C74A33"/>
    <w:rsid w:val="00CA0A83"/>
    <w:rsid w:val="00CC1F91"/>
    <w:rsid w:val="00D11848"/>
    <w:rsid w:val="00D350FF"/>
    <w:rsid w:val="00D51BA9"/>
    <w:rsid w:val="00D8599B"/>
    <w:rsid w:val="00DC4740"/>
    <w:rsid w:val="00EB38F9"/>
    <w:rsid w:val="00EE03A6"/>
    <w:rsid w:val="00EE7DBD"/>
    <w:rsid w:val="00EF51EB"/>
    <w:rsid w:val="00F92A2D"/>
    <w:rsid w:val="00FA0148"/>
    <w:rsid w:val="00FB08CF"/>
    <w:rsid w:val="00FE199F"/>
    <w:rsid w:val="00FF1E49"/>
    <w:rsid w:val="00FF371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BA9"/>
  </w:style>
  <w:style w:type="paragraph" w:styleId="Heading4">
    <w:name w:val="heading 4"/>
    <w:basedOn w:val="Normal"/>
    <w:link w:val="Heading4Char"/>
    <w:uiPriority w:val="1"/>
    <w:qFormat/>
    <w:rsid w:val="00940AF9"/>
    <w:pPr>
      <w:widowControl w:val="0"/>
      <w:autoSpaceDE w:val="0"/>
      <w:autoSpaceDN w:val="0"/>
      <w:spacing w:after="0" w:line="240" w:lineRule="auto"/>
      <w:ind w:left="1712" w:hanging="702"/>
      <w:outlineLvl w:val="3"/>
    </w:pPr>
    <w:rPr>
      <w:rFonts w:ascii="Times New Roman" w:eastAsia="Times New Roman" w:hAnsi="Times New Roman" w:cs="Times New Roman"/>
      <w:b/>
      <w:bCs/>
      <w:sz w:val="27"/>
      <w:szCs w:val="27"/>
      <w:lang w:val="en-US" w:eastAsia="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911"/>
    <w:pPr>
      <w:ind w:left="720"/>
      <w:contextualSpacing/>
    </w:pPr>
    <w:rPr>
      <w:rFonts w:eastAsiaTheme="minorHAnsi"/>
      <w:lang w:val="en-US" w:eastAsia="en-US"/>
    </w:rPr>
  </w:style>
  <w:style w:type="character" w:customStyle="1" w:styleId="Heading4Char">
    <w:name w:val="Heading 4 Char"/>
    <w:basedOn w:val="DefaultParagraphFont"/>
    <w:link w:val="Heading4"/>
    <w:uiPriority w:val="1"/>
    <w:rsid w:val="00940AF9"/>
    <w:rPr>
      <w:rFonts w:ascii="Times New Roman" w:eastAsia="Times New Roman" w:hAnsi="Times New Roman" w:cs="Times New Roman"/>
      <w:b/>
      <w:bCs/>
      <w:sz w:val="27"/>
      <w:szCs w:val="27"/>
      <w:lang w:val="en-US" w:eastAsia="en-US" w:bidi="en-US"/>
    </w:rPr>
  </w:style>
  <w:style w:type="paragraph" w:styleId="BodyText">
    <w:name w:val="Body Text"/>
    <w:basedOn w:val="Normal"/>
    <w:link w:val="BodyTextChar"/>
    <w:uiPriority w:val="1"/>
    <w:qFormat/>
    <w:rsid w:val="00940AF9"/>
    <w:pPr>
      <w:widowControl w:val="0"/>
      <w:autoSpaceDE w:val="0"/>
      <w:autoSpaceDN w:val="0"/>
      <w:spacing w:after="0" w:line="240" w:lineRule="auto"/>
    </w:pPr>
    <w:rPr>
      <w:rFonts w:ascii="Times New Roman" w:eastAsia="Times New Roman" w:hAnsi="Times New Roman" w:cs="Times New Roman"/>
      <w:sz w:val="24"/>
      <w:szCs w:val="24"/>
      <w:lang w:val="en-US" w:eastAsia="en-US" w:bidi="en-US"/>
    </w:rPr>
  </w:style>
  <w:style w:type="character" w:customStyle="1" w:styleId="BodyTextChar">
    <w:name w:val="Body Text Char"/>
    <w:basedOn w:val="DefaultParagraphFont"/>
    <w:link w:val="BodyText"/>
    <w:uiPriority w:val="1"/>
    <w:rsid w:val="00940AF9"/>
    <w:rPr>
      <w:rFonts w:ascii="Times New Roman" w:eastAsia="Times New Roman" w:hAnsi="Times New Roman" w:cs="Times New Roman"/>
      <w:sz w:val="24"/>
      <w:szCs w:val="24"/>
      <w:lang w:val="en-US" w:eastAsia="en-US" w:bidi="en-US"/>
    </w:rPr>
  </w:style>
  <w:style w:type="character" w:styleId="SubtleEmphasis">
    <w:name w:val="Subtle Emphasis"/>
    <w:basedOn w:val="DefaultParagraphFont"/>
    <w:uiPriority w:val="19"/>
    <w:qFormat/>
    <w:rsid w:val="004E614C"/>
    <w:rPr>
      <w:i/>
      <w:iCs/>
      <w:color w:val="808080" w:themeColor="text1" w:themeTint="7F"/>
    </w:rPr>
  </w:style>
  <w:style w:type="paragraph" w:customStyle="1" w:styleId="Default">
    <w:name w:val="Default"/>
    <w:rsid w:val="00D11848"/>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table" w:styleId="TableGrid">
    <w:name w:val="Table Grid"/>
    <w:basedOn w:val="TableNormal"/>
    <w:uiPriority w:val="59"/>
    <w:rsid w:val="00D11848"/>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1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8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Sebak%20Jana\Desktop\Kharagpur%20college%20%20cliamte%20change%20Paper\Copy%20of%20global%20temperatu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Sebak%20Jana\Desktop\Kharagpur%20college%20%20cliamte%20change%20Paper\Copy%20of%20global%20temperat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title>
      <c:layout/>
      <c:txPr>
        <a:bodyPr/>
        <a:lstStyle/>
        <a:p>
          <a:pPr>
            <a:defRPr lang="en-US"/>
          </a:pPr>
          <a:endParaRPr lang="en-US"/>
        </a:p>
      </c:txPr>
    </c:title>
    <c:plotArea>
      <c:layout/>
      <c:pieChart>
        <c:varyColors val="1"/>
        <c:ser>
          <c:idx val="0"/>
          <c:order val="0"/>
          <c:tx>
            <c:strRef>
              <c:f>Sheet2!$E$4</c:f>
              <c:strCache>
                <c:ptCount val="1"/>
              </c:strCache>
            </c:strRef>
          </c:tx>
          <c:dLbls>
            <c:txPr>
              <a:bodyPr/>
              <a:lstStyle/>
              <a:p>
                <a:pPr>
                  <a:defRPr lang="en-US"/>
                </a:pPr>
                <a:endParaRPr lang="en-US"/>
              </a:p>
            </c:txPr>
            <c:showVal val="1"/>
            <c:showCatName val="1"/>
            <c:showLeaderLines val="1"/>
          </c:dLbls>
          <c:cat>
            <c:strRef>
              <c:f>Sheet2!$D$5:$D$11</c:f>
              <c:strCache>
                <c:ptCount val="7"/>
                <c:pt idx="0">
                  <c:v>China</c:v>
                </c:pt>
                <c:pt idx="1">
                  <c:v>United States</c:v>
                </c:pt>
                <c:pt idx="2">
                  <c:v>European Union</c:v>
                </c:pt>
                <c:pt idx="3">
                  <c:v>   India</c:v>
                </c:pt>
                <c:pt idx="4">
                  <c:v>Russian Federation</c:v>
                </c:pt>
                <c:pt idx="5">
                  <c:v>Japan</c:v>
                </c:pt>
                <c:pt idx="6">
                  <c:v>Rest of World</c:v>
                </c:pt>
              </c:strCache>
            </c:strRef>
          </c:cat>
          <c:val>
            <c:numRef>
              <c:f>Sheet2!$E$5:$E$11</c:f>
              <c:numCache>
                <c:formatCode>0%</c:formatCode>
                <c:ptCount val="7"/>
                <c:pt idx="0">
                  <c:v>0.29000000000000031</c:v>
                </c:pt>
                <c:pt idx="1">
                  <c:v>0.15000000000000024</c:v>
                </c:pt>
                <c:pt idx="2">
                  <c:v>0.11000000000000011</c:v>
                </c:pt>
                <c:pt idx="3">
                  <c:v>6.0000000000000137E-2</c:v>
                </c:pt>
                <c:pt idx="4">
                  <c:v>5.0000000000000079E-2</c:v>
                </c:pt>
                <c:pt idx="5">
                  <c:v>4.0000000000000105E-2</c:v>
                </c:pt>
                <c:pt idx="6">
                  <c:v>0.30000000000000032</c:v>
                </c:pt>
              </c:numCache>
            </c:numRef>
          </c:val>
        </c:ser>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tx>
            <c:strRef>
              <c:f>Sheet1!$E$5</c:f>
              <c:strCache>
                <c:ptCount val="1"/>
                <c:pt idx="0">
                  <c:v>Emission per capita (t) in 2014</c:v>
                </c:pt>
              </c:strCache>
            </c:strRef>
          </c:tx>
          <c:dLbls>
            <c:txPr>
              <a:bodyPr/>
              <a:lstStyle/>
              <a:p>
                <a:pPr>
                  <a:defRPr lang="en-US"/>
                </a:pPr>
                <a:endParaRPr lang="en-US"/>
              </a:p>
            </c:txPr>
            <c:showVal val="1"/>
          </c:dLbls>
          <c:cat>
            <c:strRef>
              <c:f>Sheet1!$D$6:$D$13</c:f>
              <c:strCache>
                <c:ptCount val="8"/>
                <c:pt idx="0">
                  <c:v>United States</c:v>
                </c:pt>
                <c:pt idx="1">
                  <c:v>Russia</c:v>
                </c:pt>
                <c:pt idx="2">
                  <c:v>Japan</c:v>
                </c:pt>
                <c:pt idx="3">
                  <c:v>Germany</c:v>
                </c:pt>
                <c:pt idx="4">
                  <c:v>China</c:v>
                </c:pt>
                <c:pt idx="5">
                  <c:v>European Union</c:v>
                </c:pt>
                <c:pt idx="6">
                  <c:v>World</c:v>
                </c:pt>
                <c:pt idx="7">
                  <c:v>India</c:v>
                </c:pt>
              </c:strCache>
            </c:strRef>
          </c:cat>
          <c:val>
            <c:numRef>
              <c:f>Sheet1!$E$6:$E$13</c:f>
              <c:numCache>
                <c:formatCode>General</c:formatCode>
                <c:ptCount val="8"/>
                <c:pt idx="0">
                  <c:v>16.5</c:v>
                </c:pt>
                <c:pt idx="1">
                  <c:v>12.4</c:v>
                </c:pt>
                <c:pt idx="2">
                  <c:v>10.1</c:v>
                </c:pt>
                <c:pt idx="3">
                  <c:v>9.3000000000000007</c:v>
                </c:pt>
                <c:pt idx="4">
                  <c:v>7.6</c:v>
                </c:pt>
                <c:pt idx="5">
                  <c:v>6.7</c:v>
                </c:pt>
                <c:pt idx="6">
                  <c:v>5</c:v>
                </c:pt>
                <c:pt idx="7">
                  <c:v>1.8</c:v>
                </c:pt>
              </c:numCache>
            </c:numRef>
          </c:val>
        </c:ser>
        <c:dLbls>
          <c:showVal val="1"/>
        </c:dLbls>
        <c:gapWidth val="75"/>
        <c:axId val="82500608"/>
        <c:axId val="82645760"/>
      </c:barChart>
      <c:catAx>
        <c:axId val="82500608"/>
        <c:scaling>
          <c:orientation val="minMax"/>
        </c:scaling>
        <c:axPos val="b"/>
        <c:majorTickMark val="none"/>
        <c:tickLblPos val="nextTo"/>
        <c:txPr>
          <a:bodyPr/>
          <a:lstStyle/>
          <a:p>
            <a:pPr>
              <a:defRPr lang="en-US"/>
            </a:pPr>
            <a:endParaRPr lang="en-US"/>
          </a:p>
        </c:txPr>
        <c:crossAx val="82645760"/>
        <c:crosses val="autoZero"/>
        <c:auto val="1"/>
        <c:lblAlgn val="ctr"/>
        <c:lblOffset val="100"/>
      </c:catAx>
      <c:valAx>
        <c:axId val="82645760"/>
        <c:scaling>
          <c:orientation val="minMax"/>
        </c:scaling>
        <c:axPos val="l"/>
        <c:numFmt formatCode="General" sourceLinked="1"/>
        <c:majorTickMark val="none"/>
        <c:tickLblPos val="nextTo"/>
        <c:txPr>
          <a:bodyPr/>
          <a:lstStyle/>
          <a:p>
            <a:pPr>
              <a:defRPr lang="en-US"/>
            </a:pPr>
            <a:endParaRPr lang="en-US"/>
          </a:p>
        </c:txPr>
        <c:crossAx val="82500608"/>
        <c:crosses val="autoZero"/>
        <c:crossBetween val="between"/>
      </c:valAx>
    </c:plotArea>
    <c:legend>
      <c:legendPos val="b"/>
      <c:layout/>
      <c:txPr>
        <a:bodyPr/>
        <a:lstStyle/>
        <a:p>
          <a:pPr>
            <a:defRPr lang="en-US"/>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chart>
    <c:title>
      <c:layout/>
      <c:txPr>
        <a:bodyPr/>
        <a:lstStyle/>
        <a:p>
          <a:pPr>
            <a:defRPr lang="en-US"/>
          </a:pPr>
          <a:endParaRPr lang="en-US"/>
        </a:p>
      </c:txPr>
    </c:title>
    <c:plotArea>
      <c:layout/>
      <c:lineChart>
        <c:grouping val="standard"/>
        <c:ser>
          <c:idx val="0"/>
          <c:order val="0"/>
          <c:tx>
            <c:strRef>
              <c:f>Sheet1!$C$2</c:f>
              <c:strCache>
                <c:ptCount val="1"/>
                <c:pt idx="0">
                  <c:v>Annual Temperature anomaly ( degrres C)</c:v>
                </c:pt>
              </c:strCache>
            </c:strRef>
          </c:tx>
          <c:marker>
            <c:symbol val="none"/>
          </c:marker>
          <c:cat>
            <c:numRef>
              <c:f>Sheet1!$B$3:$B$168</c:f>
              <c:numCache>
                <c:formatCode>General</c:formatCode>
                <c:ptCount val="166"/>
                <c:pt idx="0">
                  <c:v>1850</c:v>
                </c:pt>
                <c:pt idx="1">
                  <c:v>1851</c:v>
                </c:pt>
                <c:pt idx="2">
                  <c:v>1852</c:v>
                </c:pt>
                <c:pt idx="3">
                  <c:v>1853</c:v>
                </c:pt>
                <c:pt idx="4">
                  <c:v>1854</c:v>
                </c:pt>
                <c:pt idx="5">
                  <c:v>1855</c:v>
                </c:pt>
                <c:pt idx="6">
                  <c:v>1856</c:v>
                </c:pt>
                <c:pt idx="7">
                  <c:v>1857</c:v>
                </c:pt>
                <c:pt idx="8">
                  <c:v>1858</c:v>
                </c:pt>
                <c:pt idx="9">
                  <c:v>1859</c:v>
                </c:pt>
                <c:pt idx="10">
                  <c:v>1860</c:v>
                </c:pt>
                <c:pt idx="11">
                  <c:v>1861</c:v>
                </c:pt>
                <c:pt idx="12">
                  <c:v>1862</c:v>
                </c:pt>
                <c:pt idx="13">
                  <c:v>1863</c:v>
                </c:pt>
                <c:pt idx="14">
                  <c:v>1864</c:v>
                </c:pt>
                <c:pt idx="15">
                  <c:v>1865</c:v>
                </c:pt>
                <c:pt idx="16">
                  <c:v>1866</c:v>
                </c:pt>
                <c:pt idx="17">
                  <c:v>1867</c:v>
                </c:pt>
                <c:pt idx="18">
                  <c:v>1868</c:v>
                </c:pt>
                <c:pt idx="19">
                  <c:v>1869</c:v>
                </c:pt>
                <c:pt idx="20">
                  <c:v>1870</c:v>
                </c:pt>
                <c:pt idx="21">
                  <c:v>1871</c:v>
                </c:pt>
                <c:pt idx="22">
                  <c:v>1872</c:v>
                </c:pt>
                <c:pt idx="23">
                  <c:v>1873</c:v>
                </c:pt>
                <c:pt idx="24">
                  <c:v>1874</c:v>
                </c:pt>
                <c:pt idx="25">
                  <c:v>1875</c:v>
                </c:pt>
                <c:pt idx="26">
                  <c:v>1876</c:v>
                </c:pt>
                <c:pt idx="27">
                  <c:v>1877</c:v>
                </c:pt>
                <c:pt idx="28">
                  <c:v>1878</c:v>
                </c:pt>
                <c:pt idx="29">
                  <c:v>1879</c:v>
                </c:pt>
                <c:pt idx="30">
                  <c:v>1880</c:v>
                </c:pt>
                <c:pt idx="31">
                  <c:v>1881</c:v>
                </c:pt>
                <c:pt idx="32">
                  <c:v>1882</c:v>
                </c:pt>
                <c:pt idx="33">
                  <c:v>1883</c:v>
                </c:pt>
                <c:pt idx="34">
                  <c:v>1884</c:v>
                </c:pt>
                <c:pt idx="35">
                  <c:v>1885</c:v>
                </c:pt>
                <c:pt idx="36">
                  <c:v>1886</c:v>
                </c:pt>
                <c:pt idx="37">
                  <c:v>1887</c:v>
                </c:pt>
                <c:pt idx="38">
                  <c:v>1888</c:v>
                </c:pt>
                <c:pt idx="39">
                  <c:v>1889</c:v>
                </c:pt>
                <c:pt idx="40">
                  <c:v>1890</c:v>
                </c:pt>
                <c:pt idx="41">
                  <c:v>1891</c:v>
                </c:pt>
                <c:pt idx="42">
                  <c:v>1892</c:v>
                </c:pt>
                <c:pt idx="43">
                  <c:v>1893</c:v>
                </c:pt>
                <c:pt idx="44">
                  <c:v>1894</c:v>
                </c:pt>
                <c:pt idx="45">
                  <c:v>1895</c:v>
                </c:pt>
                <c:pt idx="46">
                  <c:v>1896</c:v>
                </c:pt>
                <c:pt idx="47">
                  <c:v>1897</c:v>
                </c:pt>
                <c:pt idx="48">
                  <c:v>1898</c:v>
                </c:pt>
                <c:pt idx="49">
                  <c:v>1899</c:v>
                </c:pt>
                <c:pt idx="50">
                  <c:v>1900</c:v>
                </c:pt>
                <c:pt idx="51">
                  <c:v>1901</c:v>
                </c:pt>
                <c:pt idx="52">
                  <c:v>1902</c:v>
                </c:pt>
                <c:pt idx="53">
                  <c:v>1903</c:v>
                </c:pt>
                <c:pt idx="54">
                  <c:v>1904</c:v>
                </c:pt>
                <c:pt idx="55">
                  <c:v>1905</c:v>
                </c:pt>
                <c:pt idx="56">
                  <c:v>1906</c:v>
                </c:pt>
                <c:pt idx="57">
                  <c:v>1907</c:v>
                </c:pt>
                <c:pt idx="58">
                  <c:v>1908</c:v>
                </c:pt>
                <c:pt idx="59">
                  <c:v>1909</c:v>
                </c:pt>
                <c:pt idx="60">
                  <c:v>1910</c:v>
                </c:pt>
                <c:pt idx="61">
                  <c:v>1911</c:v>
                </c:pt>
                <c:pt idx="62">
                  <c:v>1912</c:v>
                </c:pt>
                <c:pt idx="63">
                  <c:v>1913</c:v>
                </c:pt>
                <c:pt idx="64">
                  <c:v>1914</c:v>
                </c:pt>
                <c:pt idx="65">
                  <c:v>1915</c:v>
                </c:pt>
                <c:pt idx="66">
                  <c:v>1916</c:v>
                </c:pt>
                <c:pt idx="67">
                  <c:v>1917</c:v>
                </c:pt>
                <c:pt idx="68">
                  <c:v>1918</c:v>
                </c:pt>
                <c:pt idx="69">
                  <c:v>1919</c:v>
                </c:pt>
                <c:pt idx="70">
                  <c:v>1920</c:v>
                </c:pt>
                <c:pt idx="71">
                  <c:v>1921</c:v>
                </c:pt>
                <c:pt idx="72">
                  <c:v>1922</c:v>
                </c:pt>
                <c:pt idx="73">
                  <c:v>1923</c:v>
                </c:pt>
                <c:pt idx="74">
                  <c:v>1924</c:v>
                </c:pt>
                <c:pt idx="75">
                  <c:v>1925</c:v>
                </c:pt>
                <c:pt idx="76">
                  <c:v>1926</c:v>
                </c:pt>
                <c:pt idx="77">
                  <c:v>1927</c:v>
                </c:pt>
                <c:pt idx="78">
                  <c:v>1928</c:v>
                </c:pt>
                <c:pt idx="79">
                  <c:v>1929</c:v>
                </c:pt>
                <c:pt idx="80">
                  <c:v>1930</c:v>
                </c:pt>
                <c:pt idx="81">
                  <c:v>1931</c:v>
                </c:pt>
                <c:pt idx="82">
                  <c:v>1932</c:v>
                </c:pt>
                <c:pt idx="83">
                  <c:v>1933</c:v>
                </c:pt>
                <c:pt idx="84">
                  <c:v>1934</c:v>
                </c:pt>
                <c:pt idx="85">
                  <c:v>1935</c:v>
                </c:pt>
                <c:pt idx="86">
                  <c:v>1936</c:v>
                </c:pt>
                <c:pt idx="87">
                  <c:v>1937</c:v>
                </c:pt>
                <c:pt idx="88">
                  <c:v>1938</c:v>
                </c:pt>
                <c:pt idx="89">
                  <c:v>1939</c:v>
                </c:pt>
                <c:pt idx="90">
                  <c:v>1940</c:v>
                </c:pt>
                <c:pt idx="91">
                  <c:v>1941</c:v>
                </c:pt>
                <c:pt idx="92">
                  <c:v>1942</c:v>
                </c:pt>
                <c:pt idx="93">
                  <c:v>1943</c:v>
                </c:pt>
                <c:pt idx="94">
                  <c:v>1944</c:v>
                </c:pt>
                <c:pt idx="95">
                  <c:v>1945</c:v>
                </c:pt>
                <c:pt idx="96">
                  <c:v>1946</c:v>
                </c:pt>
                <c:pt idx="97">
                  <c:v>1947</c:v>
                </c:pt>
                <c:pt idx="98">
                  <c:v>1948</c:v>
                </c:pt>
                <c:pt idx="99">
                  <c:v>1949</c:v>
                </c:pt>
                <c:pt idx="100">
                  <c:v>1950</c:v>
                </c:pt>
                <c:pt idx="101">
                  <c:v>1951</c:v>
                </c:pt>
                <c:pt idx="102">
                  <c:v>1952</c:v>
                </c:pt>
                <c:pt idx="103">
                  <c:v>1953</c:v>
                </c:pt>
                <c:pt idx="104">
                  <c:v>1954</c:v>
                </c:pt>
                <c:pt idx="105">
                  <c:v>1955</c:v>
                </c:pt>
                <c:pt idx="106">
                  <c:v>1956</c:v>
                </c:pt>
                <c:pt idx="107">
                  <c:v>1957</c:v>
                </c:pt>
                <c:pt idx="108">
                  <c:v>1958</c:v>
                </c:pt>
                <c:pt idx="109">
                  <c:v>1959</c:v>
                </c:pt>
                <c:pt idx="110">
                  <c:v>1960</c:v>
                </c:pt>
                <c:pt idx="111">
                  <c:v>1961</c:v>
                </c:pt>
                <c:pt idx="112">
                  <c:v>1962</c:v>
                </c:pt>
                <c:pt idx="113">
                  <c:v>1963</c:v>
                </c:pt>
                <c:pt idx="114">
                  <c:v>1964</c:v>
                </c:pt>
                <c:pt idx="115">
                  <c:v>1965</c:v>
                </c:pt>
                <c:pt idx="116">
                  <c:v>1966</c:v>
                </c:pt>
                <c:pt idx="117">
                  <c:v>1967</c:v>
                </c:pt>
                <c:pt idx="118">
                  <c:v>1968</c:v>
                </c:pt>
                <c:pt idx="119">
                  <c:v>1969</c:v>
                </c:pt>
                <c:pt idx="120">
                  <c:v>1970</c:v>
                </c:pt>
                <c:pt idx="121">
                  <c:v>1971</c:v>
                </c:pt>
                <c:pt idx="122">
                  <c:v>1972</c:v>
                </c:pt>
                <c:pt idx="123">
                  <c:v>1973</c:v>
                </c:pt>
                <c:pt idx="124">
                  <c:v>1974</c:v>
                </c:pt>
                <c:pt idx="125">
                  <c:v>1975</c:v>
                </c:pt>
                <c:pt idx="126">
                  <c:v>1976</c:v>
                </c:pt>
                <c:pt idx="127">
                  <c:v>1977</c:v>
                </c:pt>
                <c:pt idx="128">
                  <c:v>1978</c:v>
                </c:pt>
                <c:pt idx="129">
                  <c:v>1979</c:v>
                </c:pt>
                <c:pt idx="130">
                  <c:v>1980</c:v>
                </c:pt>
                <c:pt idx="131">
                  <c:v>1981</c:v>
                </c:pt>
                <c:pt idx="132">
                  <c:v>1982</c:v>
                </c:pt>
                <c:pt idx="133">
                  <c:v>1983</c:v>
                </c:pt>
                <c:pt idx="134">
                  <c:v>1984</c:v>
                </c:pt>
                <c:pt idx="135">
                  <c:v>1985</c:v>
                </c:pt>
                <c:pt idx="136">
                  <c:v>1986</c:v>
                </c:pt>
                <c:pt idx="137">
                  <c:v>1987</c:v>
                </c:pt>
                <c:pt idx="138">
                  <c:v>1988</c:v>
                </c:pt>
                <c:pt idx="139">
                  <c:v>1989</c:v>
                </c:pt>
                <c:pt idx="140">
                  <c:v>1990</c:v>
                </c:pt>
                <c:pt idx="141">
                  <c:v>1991</c:v>
                </c:pt>
                <c:pt idx="142">
                  <c:v>1992</c:v>
                </c:pt>
                <c:pt idx="143">
                  <c:v>1993</c:v>
                </c:pt>
                <c:pt idx="144">
                  <c:v>1994</c:v>
                </c:pt>
                <c:pt idx="145">
                  <c:v>1995</c:v>
                </c:pt>
                <c:pt idx="146">
                  <c:v>1996</c:v>
                </c:pt>
                <c:pt idx="147">
                  <c:v>1997</c:v>
                </c:pt>
                <c:pt idx="148">
                  <c:v>1998</c:v>
                </c:pt>
                <c:pt idx="149">
                  <c:v>1999</c:v>
                </c:pt>
                <c:pt idx="150">
                  <c:v>2000</c:v>
                </c:pt>
                <c:pt idx="151">
                  <c:v>2001</c:v>
                </c:pt>
                <c:pt idx="152">
                  <c:v>2002</c:v>
                </c:pt>
                <c:pt idx="153">
                  <c:v>2003</c:v>
                </c:pt>
                <c:pt idx="154">
                  <c:v>2004</c:v>
                </c:pt>
                <c:pt idx="155">
                  <c:v>2005</c:v>
                </c:pt>
                <c:pt idx="156">
                  <c:v>2006</c:v>
                </c:pt>
                <c:pt idx="157">
                  <c:v>2007</c:v>
                </c:pt>
                <c:pt idx="158">
                  <c:v>2008</c:v>
                </c:pt>
                <c:pt idx="159">
                  <c:v>2009</c:v>
                </c:pt>
                <c:pt idx="160">
                  <c:v>2010</c:v>
                </c:pt>
                <c:pt idx="161">
                  <c:v>2011</c:v>
                </c:pt>
                <c:pt idx="162">
                  <c:v>2012</c:v>
                </c:pt>
                <c:pt idx="163">
                  <c:v>2013</c:v>
                </c:pt>
                <c:pt idx="164">
                  <c:v>2014</c:v>
                </c:pt>
                <c:pt idx="165">
                  <c:v>2015</c:v>
                </c:pt>
              </c:numCache>
            </c:numRef>
          </c:cat>
          <c:val>
            <c:numRef>
              <c:f>Sheet1!$C$3:$C$168</c:f>
              <c:numCache>
                <c:formatCode>General</c:formatCode>
                <c:ptCount val="166"/>
                <c:pt idx="0">
                  <c:v>-0.37500000000000072</c:v>
                </c:pt>
                <c:pt idx="1">
                  <c:v>-0.223</c:v>
                </c:pt>
                <c:pt idx="2">
                  <c:v>-0.224</c:v>
                </c:pt>
                <c:pt idx="3">
                  <c:v>-0.27100000000000002</c:v>
                </c:pt>
                <c:pt idx="4">
                  <c:v>-0.24600000000000036</c:v>
                </c:pt>
                <c:pt idx="5">
                  <c:v>-0.27100000000000002</c:v>
                </c:pt>
                <c:pt idx="6">
                  <c:v>-0.35200000000000031</c:v>
                </c:pt>
                <c:pt idx="7">
                  <c:v>-0.46</c:v>
                </c:pt>
                <c:pt idx="8">
                  <c:v>-0.46600000000000008</c:v>
                </c:pt>
                <c:pt idx="9">
                  <c:v>-0.28600000000000031</c:v>
                </c:pt>
                <c:pt idx="10">
                  <c:v>-0.34600000000000031</c:v>
                </c:pt>
                <c:pt idx="11">
                  <c:v>-0.40900000000000031</c:v>
                </c:pt>
                <c:pt idx="12">
                  <c:v>-0.52200000000000002</c:v>
                </c:pt>
                <c:pt idx="13">
                  <c:v>-0.27600000000000002</c:v>
                </c:pt>
                <c:pt idx="14">
                  <c:v>-0.49000000000000032</c:v>
                </c:pt>
                <c:pt idx="15">
                  <c:v>-0.27</c:v>
                </c:pt>
                <c:pt idx="16">
                  <c:v>-0.24500000000000036</c:v>
                </c:pt>
                <c:pt idx="17">
                  <c:v>-0.31400000000000072</c:v>
                </c:pt>
                <c:pt idx="18">
                  <c:v>-0.23100000000000001</c:v>
                </c:pt>
                <c:pt idx="19">
                  <c:v>-0.26200000000000001</c:v>
                </c:pt>
                <c:pt idx="20">
                  <c:v>-0.27500000000000002</c:v>
                </c:pt>
                <c:pt idx="21">
                  <c:v>-0.33300000000000096</c:v>
                </c:pt>
                <c:pt idx="22">
                  <c:v>-0.22700000000000001</c:v>
                </c:pt>
                <c:pt idx="23">
                  <c:v>-0.30300000000000032</c:v>
                </c:pt>
                <c:pt idx="24">
                  <c:v>-0.37400000000000072</c:v>
                </c:pt>
                <c:pt idx="25">
                  <c:v>-0.39700000000000096</c:v>
                </c:pt>
                <c:pt idx="26">
                  <c:v>-0.38000000000000084</c:v>
                </c:pt>
                <c:pt idx="27">
                  <c:v>-7.5999999999999998E-2</c:v>
                </c:pt>
                <c:pt idx="28">
                  <c:v>3.500000000000001E-2</c:v>
                </c:pt>
                <c:pt idx="29">
                  <c:v>-0.23200000000000001</c:v>
                </c:pt>
                <c:pt idx="30">
                  <c:v>-0.22900000000000001</c:v>
                </c:pt>
                <c:pt idx="31">
                  <c:v>-0.20600000000000004</c:v>
                </c:pt>
                <c:pt idx="32">
                  <c:v>-0.21500000000000036</c:v>
                </c:pt>
                <c:pt idx="33">
                  <c:v>-0.29500000000000032</c:v>
                </c:pt>
                <c:pt idx="34">
                  <c:v>-0.40800000000000008</c:v>
                </c:pt>
                <c:pt idx="35">
                  <c:v>-0.3910000000000009</c:v>
                </c:pt>
                <c:pt idx="36">
                  <c:v>-0.36900000000000038</c:v>
                </c:pt>
                <c:pt idx="37">
                  <c:v>-0.41900000000000032</c:v>
                </c:pt>
                <c:pt idx="38">
                  <c:v>-0.31200000000000072</c:v>
                </c:pt>
                <c:pt idx="39">
                  <c:v>-0.17300000000000001</c:v>
                </c:pt>
                <c:pt idx="40">
                  <c:v>-0.41900000000000032</c:v>
                </c:pt>
                <c:pt idx="41">
                  <c:v>-0.33800000000000097</c:v>
                </c:pt>
                <c:pt idx="42">
                  <c:v>-0.45700000000000002</c:v>
                </c:pt>
                <c:pt idx="43">
                  <c:v>-0.47400000000000031</c:v>
                </c:pt>
                <c:pt idx="44">
                  <c:v>-0.40600000000000008</c:v>
                </c:pt>
                <c:pt idx="45">
                  <c:v>-0.39300000000000096</c:v>
                </c:pt>
                <c:pt idx="46">
                  <c:v>-0.18900000000000039</c:v>
                </c:pt>
                <c:pt idx="47">
                  <c:v>-0.21100000000000024</c:v>
                </c:pt>
                <c:pt idx="48">
                  <c:v>-0.41600000000000031</c:v>
                </c:pt>
                <c:pt idx="49">
                  <c:v>-0.29100000000000031</c:v>
                </c:pt>
                <c:pt idx="50">
                  <c:v>-0.2</c:v>
                </c:pt>
                <c:pt idx="51">
                  <c:v>-0.26500000000000001</c:v>
                </c:pt>
                <c:pt idx="52">
                  <c:v>-0.40700000000000008</c:v>
                </c:pt>
                <c:pt idx="53">
                  <c:v>-0.48500000000000032</c:v>
                </c:pt>
                <c:pt idx="54">
                  <c:v>-0.52600000000000002</c:v>
                </c:pt>
                <c:pt idx="55">
                  <c:v>-0.38200000000000084</c:v>
                </c:pt>
                <c:pt idx="56">
                  <c:v>-0.28800000000000031</c:v>
                </c:pt>
                <c:pt idx="57">
                  <c:v>-0.47000000000000008</c:v>
                </c:pt>
                <c:pt idx="58">
                  <c:v>-0.51600000000000001</c:v>
                </c:pt>
                <c:pt idx="59">
                  <c:v>-0.53</c:v>
                </c:pt>
                <c:pt idx="60">
                  <c:v>-0.49400000000000038</c:v>
                </c:pt>
                <c:pt idx="61">
                  <c:v>-0.54700000000000004</c:v>
                </c:pt>
                <c:pt idx="62">
                  <c:v>-0.44</c:v>
                </c:pt>
                <c:pt idx="63">
                  <c:v>-0.42800000000000032</c:v>
                </c:pt>
                <c:pt idx="64">
                  <c:v>-0.24800000000000036</c:v>
                </c:pt>
                <c:pt idx="65">
                  <c:v>-0.15100000000000036</c:v>
                </c:pt>
                <c:pt idx="66">
                  <c:v>-0.38800000000000084</c:v>
                </c:pt>
                <c:pt idx="67">
                  <c:v>-0.46700000000000008</c:v>
                </c:pt>
                <c:pt idx="68">
                  <c:v>-0.33500000000000096</c:v>
                </c:pt>
                <c:pt idx="69">
                  <c:v>-0.27500000000000002</c:v>
                </c:pt>
                <c:pt idx="70">
                  <c:v>-0.24600000000000036</c:v>
                </c:pt>
                <c:pt idx="71">
                  <c:v>-0.18700000000000039</c:v>
                </c:pt>
                <c:pt idx="72">
                  <c:v>-0.30200000000000032</c:v>
                </c:pt>
                <c:pt idx="73">
                  <c:v>-0.27200000000000002</c:v>
                </c:pt>
                <c:pt idx="74">
                  <c:v>-0.29300000000000032</c:v>
                </c:pt>
                <c:pt idx="75">
                  <c:v>-0.21300000000000024</c:v>
                </c:pt>
                <c:pt idx="76">
                  <c:v>-0.10600000000000002</c:v>
                </c:pt>
                <c:pt idx="77">
                  <c:v>-0.21000000000000021</c:v>
                </c:pt>
                <c:pt idx="78">
                  <c:v>-0.20800000000000021</c:v>
                </c:pt>
                <c:pt idx="79">
                  <c:v>-0.35000000000000031</c:v>
                </c:pt>
                <c:pt idx="80">
                  <c:v>-0.13600000000000001</c:v>
                </c:pt>
                <c:pt idx="81">
                  <c:v>-8.3000000000000046E-2</c:v>
                </c:pt>
                <c:pt idx="82">
                  <c:v>-0.13400000000000001</c:v>
                </c:pt>
                <c:pt idx="83">
                  <c:v>-0.26900000000000002</c:v>
                </c:pt>
                <c:pt idx="84">
                  <c:v>-0.126</c:v>
                </c:pt>
                <c:pt idx="85">
                  <c:v>-0.17300000000000001</c:v>
                </c:pt>
                <c:pt idx="86">
                  <c:v>-0.14100000000000001</c:v>
                </c:pt>
                <c:pt idx="87">
                  <c:v>-2.4E-2</c:v>
                </c:pt>
                <c:pt idx="88">
                  <c:v>-3.0000000000000061E-3</c:v>
                </c:pt>
                <c:pt idx="89">
                  <c:v>-4.7000000000000014E-2</c:v>
                </c:pt>
                <c:pt idx="90">
                  <c:v>2.0000000000000011E-2</c:v>
                </c:pt>
                <c:pt idx="91">
                  <c:v>2.1000000000000012E-2</c:v>
                </c:pt>
                <c:pt idx="92">
                  <c:v>-2.3E-2</c:v>
                </c:pt>
                <c:pt idx="93">
                  <c:v>1.0000000000000031E-3</c:v>
                </c:pt>
                <c:pt idx="94">
                  <c:v>0.15200000000000036</c:v>
                </c:pt>
                <c:pt idx="95">
                  <c:v>3.0000000000000002E-2</c:v>
                </c:pt>
                <c:pt idx="96">
                  <c:v>-7.0000000000000021E-2</c:v>
                </c:pt>
                <c:pt idx="97">
                  <c:v>-4.0000000000000022E-2</c:v>
                </c:pt>
                <c:pt idx="98">
                  <c:v>-3.6999999999999998E-2</c:v>
                </c:pt>
                <c:pt idx="99">
                  <c:v>-7.0999999999999994E-2</c:v>
                </c:pt>
                <c:pt idx="100">
                  <c:v>-0.17200000000000001</c:v>
                </c:pt>
                <c:pt idx="101">
                  <c:v>-5.1999999999999998E-2</c:v>
                </c:pt>
                <c:pt idx="102">
                  <c:v>3.0000000000000002E-2</c:v>
                </c:pt>
                <c:pt idx="103">
                  <c:v>9.7000000000000003E-2</c:v>
                </c:pt>
                <c:pt idx="104">
                  <c:v>-0.13200000000000001</c:v>
                </c:pt>
                <c:pt idx="105">
                  <c:v>-0.19</c:v>
                </c:pt>
                <c:pt idx="106">
                  <c:v>-0.26500000000000001</c:v>
                </c:pt>
                <c:pt idx="107">
                  <c:v>-5.0000000000000114E-3</c:v>
                </c:pt>
                <c:pt idx="108">
                  <c:v>4.5999999999999999E-2</c:v>
                </c:pt>
                <c:pt idx="109">
                  <c:v>1.6000000000000021E-2</c:v>
                </c:pt>
                <c:pt idx="110">
                  <c:v>-4.9000000000000113E-2</c:v>
                </c:pt>
                <c:pt idx="111">
                  <c:v>3.9000000000000014E-2</c:v>
                </c:pt>
                <c:pt idx="112">
                  <c:v>1.6000000000000021E-2</c:v>
                </c:pt>
                <c:pt idx="113">
                  <c:v>4.8000000000000001E-2</c:v>
                </c:pt>
                <c:pt idx="114">
                  <c:v>-0.222</c:v>
                </c:pt>
                <c:pt idx="115">
                  <c:v>-0.14100000000000001</c:v>
                </c:pt>
                <c:pt idx="116">
                  <c:v>-7.0000000000000021E-2</c:v>
                </c:pt>
                <c:pt idx="117">
                  <c:v>-7.5999999999999998E-2</c:v>
                </c:pt>
                <c:pt idx="118">
                  <c:v>-0.113</c:v>
                </c:pt>
                <c:pt idx="119">
                  <c:v>3.0000000000000002E-2</c:v>
                </c:pt>
                <c:pt idx="120">
                  <c:v>-2.7000000000000062E-2</c:v>
                </c:pt>
                <c:pt idx="121">
                  <c:v>-0.18600000000000039</c:v>
                </c:pt>
                <c:pt idx="122">
                  <c:v>-6.8000000000000019E-2</c:v>
                </c:pt>
                <c:pt idx="123">
                  <c:v>6.4000000000000112E-2</c:v>
                </c:pt>
                <c:pt idx="124">
                  <c:v>-0.21200000000000024</c:v>
                </c:pt>
                <c:pt idx="125">
                  <c:v>-0.14600000000000021</c:v>
                </c:pt>
                <c:pt idx="126">
                  <c:v>-0.24000000000000021</c:v>
                </c:pt>
                <c:pt idx="127">
                  <c:v>4.5000000000000012E-2</c:v>
                </c:pt>
                <c:pt idx="128">
                  <c:v>-6.3E-2</c:v>
                </c:pt>
                <c:pt idx="129">
                  <c:v>5.6000000000000001E-2</c:v>
                </c:pt>
                <c:pt idx="130">
                  <c:v>9.2000000000000026E-2</c:v>
                </c:pt>
                <c:pt idx="131">
                  <c:v>0.14000000000000001</c:v>
                </c:pt>
                <c:pt idx="132">
                  <c:v>1.2E-2</c:v>
                </c:pt>
                <c:pt idx="133">
                  <c:v>0.193</c:v>
                </c:pt>
                <c:pt idx="134">
                  <c:v>-1.2999999999999998E-2</c:v>
                </c:pt>
                <c:pt idx="135">
                  <c:v>-2.9000000000000001E-2</c:v>
                </c:pt>
                <c:pt idx="136">
                  <c:v>4.5999999999999999E-2</c:v>
                </c:pt>
                <c:pt idx="137">
                  <c:v>0.191</c:v>
                </c:pt>
                <c:pt idx="138">
                  <c:v>0.20100000000000001</c:v>
                </c:pt>
                <c:pt idx="139">
                  <c:v>0.12100000000000002</c:v>
                </c:pt>
                <c:pt idx="140">
                  <c:v>0.29700000000000032</c:v>
                </c:pt>
                <c:pt idx="141">
                  <c:v>0.254</c:v>
                </c:pt>
                <c:pt idx="142">
                  <c:v>0.10500000000000002</c:v>
                </c:pt>
                <c:pt idx="143">
                  <c:v>0.14500000000000021</c:v>
                </c:pt>
                <c:pt idx="144">
                  <c:v>0.20600000000000004</c:v>
                </c:pt>
                <c:pt idx="145">
                  <c:v>0.32100000000000084</c:v>
                </c:pt>
                <c:pt idx="146">
                  <c:v>0.18200000000000024</c:v>
                </c:pt>
                <c:pt idx="147">
                  <c:v>0.38900000000000085</c:v>
                </c:pt>
                <c:pt idx="148">
                  <c:v>0.53600000000000003</c:v>
                </c:pt>
                <c:pt idx="149">
                  <c:v>0.30700000000000038</c:v>
                </c:pt>
                <c:pt idx="150">
                  <c:v>0.29500000000000032</c:v>
                </c:pt>
                <c:pt idx="151">
                  <c:v>0.44</c:v>
                </c:pt>
                <c:pt idx="152">
                  <c:v>0.49600000000000072</c:v>
                </c:pt>
                <c:pt idx="153">
                  <c:v>0.50900000000000001</c:v>
                </c:pt>
                <c:pt idx="154">
                  <c:v>0.45</c:v>
                </c:pt>
                <c:pt idx="155">
                  <c:v>0.54400000000000004</c:v>
                </c:pt>
                <c:pt idx="156">
                  <c:v>0.505</c:v>
                </c:pt>
                <c:pt idx="157">
                  <c:v>0.49300000000000038</c:v>
                </c:pt>
                <c:pt idx="158">
                  <c:v>0.39500000000000096</c:v>
                </c:pt>
                <c:pt idx="159">
                  <c:v>0.50600000000000001</c:v>
                </c:pt>
                <c:pt idx="160">
                  <c:v>0.55900000000000005</c:v>
                </c:pt>
                <c:pt idx="161">
                  <c:v>0.42200000000000032</c:v>
                </c:pt>
                <c:pt idx="162">
                  <c:v>0.47000000000000008</c:v>
                </c:pt>
                <c:pt idx="163">
                  <c:v>0.49900000000000072</c:v>
                </c:pt>
                <c:pt idx="164">
                  <c:v>0.56699999999999995</c:v>
                </c:pt>
                <c:pt idx="165">
                  <c:v>0.74600000000000144</c:v>
                </c:pt>
              </c:numCache>
            </c:numRef>
          </c:val>
        </c:ser>
        <c:marker val="1"/>
        <c:axId val="82653184"/>
        <c:axId val="82654720"/>
      </c:lineChart>
      <c:catAx>
        <c:axId val="82653184"/>
        <c:scaling>
          <c:orientation val="minMax"/>
        </c:scaling>
        <c:axPos val="b"/>
        <c:numFmt formatCode="General" sourceLinked="1"/>
        <c:tickLblPos val="nextTo"/>
        <c:txPr>
          <a:bodyPr/>
          <a:lstStyle/>
          <a:p>
            <a:pPr>
              <a:defRPr lang="en-US"/>
            </a:pPr>
            <a:endParaRPr lang="en-US"/>
          </a:p>
        </c:txPr>
        <c:crossAx val="82654720"/>
        <c:crosses val="autoZero"/>
        <c:auto val="1"/>
        <c:lblAlgn val="ctr"/>
        <c:lblOffset val="100"/>
      </c:catAx>
      <c:valAx>
        <c:axId val="82654720"/>
        <c:scaling>
          <c:orientation val="minMax"/>
        </c:scaling>
        <c:axPos val="l"/>
        <c:majorGridlines/>
        <c:numFmt formatCode="General" sourceLinked="1"/>
        <c:tickLblPos val="nextTo"/>
        <c:txPr>
          <a:bodyPr/>
          <a:lstStyle/>
          <a:p>
            <a:pPr>
              <a:defRPr lang="en-US"/>
            </a:pPr>
            <a:endParaRPr lang="en-US"/>
          </a:p>
        </c:txPr>
        <c:crossAx val="82653184"/>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13</Pages>
  <Words>3540</Words>
  <Characters>20179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24</cp:revision>
  <dcterms:created xsi:type="dcterms:W3CDTF">2020-04-03T10:03:00Z</dcterms:created>
  <dcterms:modified xsi:type="dcterms:W3CDTF">2020-04-06T16:24:00Z</dcterms:modified>
</cp:coreProperties>
</file>