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6CC" w:rsidRDefault="00730F43" w:rsidP="00730F43">
      <w:pPr>
        <w:jc w:val="center"/>
        <w:rPr>
          <w:rFonts w:ascii="Times New Roman" w:hAnsi="Times New Roman" w:cs="Times New Roman"/>
          <w:b/>
          <w:sz w:val="24"/>
          <w:szCs w:val="24"/>
        </w:rPr>
      </w:pPr>
      <w:r w:rsidRPr="00730F43">
        <w:rPr>
          <w:rFonts w:ascii="Times New Roman" w:hAnsi="Times New Roman" w:cs="Times New Roman"/>
          <w:b/>
          <w:sz w:val="24"/>
          <w:szCs w:val="24"/>
        </w:rPr>
        <w:t>Social Organization of Indian Civilization</w:t>
      </w:r>
    </w:p>
    <w:p w:rsidR="00730F43" w:rsidRPr="00730F43" w:rsidRDefault="00730F43" w:rsidP="00730F43">
      <w:pPr>
        <w:jc w:val="center"/>
        <w:rPr>
          <w:rFonts w:ascii="Times New Roman" w:hAnsi="Times New Roman" w:cs="Times New Roman"/>
          <w:b/>
          <w:sz w:val="24"/>
          <w:szCs w:val="24"/>
        </w:rPr>
      </w:pPr>
    </w:p>
    <w:p w:rsidR="00A65D41" w:rsidRDefault="00730F43" w:rsidP="00730F43">
      <w:pPr>
        <w:jc w:val="both"/>
        <w:rPr>
          <w:rFonts w:ascii="Times New Roman" w:hAnsi="Times New Roman" w:cs="Times New Roman"/>
          <w:sz w:val="24"/>
          <w:szCs w:val="24"/>
        </w:rPr>
      </w:pPr>
      <w:r>
        <w:rPr>
          <w:rFonts w:ascii="Times New Roman" w:hAnsi="Times New Roman" w:cs="Times New Roman"/>
          <w:sz w:val="24"/>
          <w:szCs w:val="24"/>
        </w:rPr>
        <w:t xml:space="preserve">Social organization of Indian civilization has been analysed from various theoretical dimensions. Milton Singer </w:t>
      </w:r>
      <w:r w:rsidR="008657A3">
        <w:rPr>
          <w:rFonts w:ascii="Times New Roman" w:hAnsi="Times New Roman" w:cs="Times New Roman"/>
          <w:sz w:val="24"/>
          <w:szCs w:val="24"/>
        </w:rPr>
        <w:t>(</w:t>
      </w:r>
      <w:r>
        <w:rPr>
          <w:rFonts w:ascii="Times New Roman" w:hAnsi="Times New Roman" w:cs="Times New Roman"/>
          <w:sz w:val="24"/>
          <w:szCs w:val="24"/>
        </w:rPr>
        <w:t>1968</w:t>
      </w:r>
      <w:r w:rsidR="008657A3">
        <w:rPr>
          <w:rFonts w:ascii="Times New Roman" w:hAnsi="Times New Roman" w:cs="Times New Roman"/>
          <w:sz w:val="24"/>
          <w:szCs w:val="24"/>
        </w:rPr>
        <w:t>), for instance,</w:t>
      </w:r>
      <w:r>
        <w:rPr>
          <w:rFonts w:ascii="Times New Roman" w:hAnsi="Times New Roman" w:cs="Times New Roman"/>
          <w:sz w:val="24"/>
          <w:szCs w:val="24"/>
        </w:rPr>
        <w:t xml:space="preserve"> is of the view that the pre-existing folk/regional culture fashioned India’s primary or indigenous civilization.</w:t>
      </w:r>
      <w:r w:rsidR="008657A3">
        <w:rPr>
          <w:rFonts w:ascii="Times New Roman" w:hAnsi="Times New Roman" w:cs="Times New Roman"/>
          <w:sz w:val="24"/>
          <w:szCs w:val="24"/>
        </w:rPr>
        <w:t xml:space="preserve"> He observed a cultural continuity between the great and the little traditions as being the cause and product of sharing common cultural consciousness and the expression of similar Indian outlook and ethos. This common consciousness and expression of similar ethos are found, according to Singer (1964), in India’s diverse regions, villages, castes, tribes, sacred books and sacred geography of sacred centres. </w:t>
      </w:r>
    </w:p>
    <w:p w:rsidR="00266FD2" w:rsidRDefault="008657A3" w:rsidP="00730F43">
      <w:pPr>
        <w:jc w:val="both"/>
        <w:rPr>
          <w:rFonts w:ascii="Times New Roman" w:hAnsi="Times New Roman" w:cs="Times New Roman"/>
          <w:sz w:val="24"/>
          <w:szCs w:val="24"/>
        </w:rPr>
      </w:pPr>
      <w:r>
        <w:rPr>
          <w:rFonts w:ascii="Times New Roman" w:hAnsi="Times New Roman" w:cs="Times New Roman"/>
          <w:sz w:val="24"/>
          <w:szCs w:val="24"/>
        </w:rPr>
        <w:t xml:space="preserve">The basic social units of Indian civilization, i.e., joint family, caste and villages are not taken as structural or cultural isolates. These are rather seen as intimately connected with one another, and with other social units, through social networks of various kinds. The non-isolationist point of view was </w:t>
      </w:r>
      <w:r w:rsidR="00266FD2">
        <w:rPr>
          <w:rFonts w:ascii="Times New Roman" w:hAnsi="Times New Roman" w:cs="Times New Roman"/>
          <w:sz w:val="24"/>
          <w:szCs w:val="24"/>
        </w:rPr>
        <w:t>also adopted in Marriott’s work (Village India, 1955). It became the point of departure from the Redfieldian concept of a civilization as a structure of such networks and cultural centres (Redfield and Singer, 1954, “</w:t>
      </w:r>
      <w:r w:rsidR="00266FD2" w:rsidRPr="00266FD2">
        <w:rPr>
          <w:rFonts w:ascii="Times New Roman" w:hAnsi="Times New Roman" w:cs="Times New Roman"/>
          <w:sz w:val="24"/>
          <w:szCs w:val="24"/>
        </w:rPr>
        <w:t>The Cultural Codes of Cities</w:t>
      </w:r>
      <w:r w:rsidR="00752F53">
        <w:rPr>
          <w:rFonts w:ascii="Times New Roman" w:hAnsi="Times New Roman" w:cs="Times New Roman"/>
          <w:sz w:val="24"/>
          <w:szCs w:val="24"/>
        </w:rPr>
        <w:t>”</w:t>
      </w:r>
      <w:r w:rsidR="00266FD2">
        <w:rPr>
          <w:rFonts w:ascii="Times New Roman" w:hAnsi="Times New Roman" w:cs="Times New Roman"/>
          <w:sz w:val="24"/>
          <w:szCs w:val="24"/>
        </w:rPr>
        <w:t>; Cohn and Marriott, 1958, “Centres and networks in the integration of Indian civilization”; Singer, 1958, “The social organization of Indian civilization”; etc.).</w:t>
      </w:r>
      <w:r w:rsidR="00A65D41">
        <w:rPr>
          <w:rFonts w:ascii="Times New Roman" w:hAnsi="Times New Roman" w:cs="Times New Roman"/>
          <w:sz w:val="24"/>
          <w:szCs w:val="24"/>
        </w:rPr>
        <w:t xml:space="preserve"> </w:t>
      </w:r>
      <w:r w:rsidR="00266FD2">
        <w:rPr>
          <w:rFonts w:ascii="Times New Roman" w:hAnsi="Times New Roman" w:cs="Times New Roman"/>
          <w:sz w:val="24"/>
          <w:szCs w:val="24"/>
        </w:rPr>
        <w:t xml:space="preserve">Singer tried to find out </w:t>
      </w:r>
      <w:r w:rsidR="00266FD2" w:rsidRPr="006607CF">
        <w:rPr>
          <w:rFonts w:ascii="Times New Roman" w:hAnsi="Times New Roman" w:cs="Times New Roman"/>
          <w:i/>
          <w:sz w:val="24"/>
          <w:szCs w:val="24"/>
        </w:rPr>
        <w:t>how</w:t>
      </w:r>
      <w:r w:rsidR="00266FD2">
        <w:rPr>
          <w:rFonts w:ascii="Times New Roman" w:hAnsi="Times New Roman" w:cs="Times New Roman"/>
          <w:sz w:val="24"/>
          <w:szCs w:val="24"/>
        </w:rPr>
        <w:t xml:space="preserve"> the great tradition of Hinduism works in a modern heterogenetic city (e.g., his study on Madras city, 1958, 1972).</w:t>
      </w:r>
    </w:p>
    <w:p w:rsidR="00A65D41" w:rsidRDefault="00A65D41" w:rsidP="00730F43">
      <w:pPr>
        <w:jc w:val="both"/>
        <w:rPr>
          <w:rFonts w:ascii="Times New Roman" w:hAnsi="Times New Roman" w:cs="Times New Roman"/>
          <w:sz w:val="24"/>
          <w:szCs w:val="24"/>
        </w:rPr>
      </w:pPr>
      <w:r>
        <w:rPr>
          <w:rFonts w:ascii="Times New Roman" w:hAnsi="Times New Roman" w:cs="Times New Roman"/>
          <w:sz w:val="24"/>
          <w:szCs w:val="24"/>
        </w:rPr>
        <w:t xml:space="preserve">Analysing the cultural content in rural dimension (e.g., his </w:t>
      </w:r>
      <w:r w:rsidRPr="00A65D41">
        <w:rPr>
          <w:rFonts w:ascii="Times New Roman" w:hAnsi="Times New Roman" w:cs="Times New Roman"/>
          <w:i/>
          <w:sz w:val="24"/>
          <w:szCs w:val="24"/>
        </w:rPr>
        <w:t>Kishan Garhi</w:t>
      </w:r>
      <w:r>
        <w:rPr>
          <w:rFonts w:ascii="Times New Roman" w:hAnsi="Times New Roman" w:cs="Times New Roman"/>
          <w:sz w:val="24"/>
          <w:szCs w:val="24"/>
        </w:rPr>
        <w:t xml:space="preserve"> study, 1955), Mckim Marriott tried to understand the autonomous wholeness of the regions of ‘Little Community’ and religious traditions of Indian civilization from the perspective of religion of little community present in Indian civilization (1955). For Marriott, the cultural growth of Indian </w:t>
      </w:r>
      <w:r w:rsidR="007228C0">
        <w:rPr>
          <w:rFonts w:ascii="Times New Roman" w:hAnsi="Times New Roman" w:cs="Times New Roman"/>
          <w:sz w:val="24"/>
          <w:szCs w:val="24"/>
        </w:rPr>
        <w:t>civilization is</w:t>
      </w:r>
      <w:r>
        <w:rPr>
          <w:rFonts w:ascii="Times New Roman" w:hAnsi="Times New Roman" w:cs="Times New Roman"/>
          <w:sz w:val="24"/>
          <w:szCs w:val="24"/>
        </w:rPr>
        <w:t xml:space="preserve"> occurring through two complementary processes of universalization and parochialization.</w:t>
      </w:r>
    </w:p>
    <w:p w:rsidR="007228C0" w:rsidRDefault="007228C0" w:rsidP="00730F43">
      <w:pPr>
        <w:jc w:val="both"/>
        <w:rPr>
          <w:rFonts w:ascii="Times New Roman" w:hAnsi="Times New Roman" w:cs="Times New Roman"/>
          <w:sz w:val="24"/>
          <w:szCs w:val="24"/>
        </w:rPr>
      </w:pPr>
      <w:r>
        <w:rPr>
          <w:rFonts w:ascii="Times New Roman" w:hAnsi="Times New Roman" w:cs="Times New Roman"/>
          <w:sz w:val="24"/>
          <w:szCs w:val="24"/>
        </w:rPr>
        <w:t>Marriott with Cohn (1958) tried to explain the integration of Indian civilization with references to her networks (of trade, marriage, etc.) and centres (religious, political, commercial and administrative). They viewed centres as a point, a concentration of civilizational influence. Indian civilization is thought to be consisting of knots and ties between the knots. The knots are concentrations from which elements of civilization flow</w:t>
      </w:r>
      <w:r w:rsidR="004B5F8F">
        <w:rPr>
          <w:rFonts w:ascii="Times New Roman" w:hAnsi="Times New Roman" w:cs="Times New Roman"/>
          <w:sz w:val="24"/>
          <w:szCs w:val="24"/>
        </w:rPr>
        <w:t xml:space="preserve"> outward, and the ties between the knots are the lines of communication and transportation along which the influences pass.</w:t>
      </w:r>
    </w:p>
    <w:p w:rsidR="004B5F8F" w:rsidRDefault="004B5F8F" w:rsidP="00730F43">
      <w:pPr>
        <w:jc w:val="both"/>
        <w:rPr>
          <w:rFonts w:ascii="Times New Roman" w:hAnsi="Times New Roman" w:cs="Times New Roman"/>
          <w:sz w:val="24"/>
          <w:szCs w:val="24"/>
        </w:rPr>
      </w:pPr>
      <w:r>
        <w:rPr>
          <w:rFonts w:ascii="Times New Roman" w:hAnsi="Times New Roman" w:cs="Times New Roman"/>
          <w:sz w:val="24"/>
          <w:szCs w:val="24"/>
        </w:rPr>
        <w:t xml:space="preserve">In his attempt to understand the social organization of Indian civilization, Oscar Lewis (1955) developed the concept of </w:t>
      </w:r>
      <w:r w:rsidRPr="006607CF">
        <w:rPr>
          <w:rFonts w:ascii="Times New Roman" w:hAnsi="Times New Roman" w:cs="Times New Roman"/>
          <w:sz w:val="24"/>
          <w:szCs w:val="24"/>
        </w:rPr>
        <w:t>rural cosmopolitanism</w:t>
      </w:r>
      <w:r>
        <w:rPr>
          <w:rFonts w:ascii="Times New Roman" w:hAnsi="Times New Roman" w:cs="Times New Roman"/>
          <w:sz w:val="24"/>
          <w:szCs w:val="24"/>
        </w:rPr>
        <w:t xml:space="preserve"> in his study of Ranikhera village (1955). For him, a village has extensive interrelations with a wide rural society (community). This pilgrimage to shrines and also arises from caste connections and intermarriages. He further highlighted the varied roles of kin- and caste –oriented factions in the process of decision-making in rural India (</w:t>
      </w:r>
      <w:r w:rsidRPr="004B5F8F">
        <w:rPr>
          <w:rFonts w:ascii="Times New Roman" w:hAnsi="Times New Roman" w:cs="Times New Roman"/>
          <w:i/>
          <w:sz w:val="24"/>
          <w:szCs w:val="24"/>
        </w:rPr>
        <w:t>Village Life in Northern India</w:t>
      </w:r>
      <w:r>
        <w:rPr>
          <w:rFonts w:ascii="Times New Roman" w:hAnsi="Times New Roman" w:cs="Times New Roman"/>
          <w:sz w:val="24"/>
          <w:szCs w:val="24"/>
        </w:rPr>
        <w:t>, 1958).</w:t>
      </w:r>
    </w:p>
    <w:p w:rsidR="004B5F8F" w:rsidRDefault="004B5F8F" w:rsidP="00730F43">
      <w:pPr>
        <w:jc w:val="both"/>
        <w:rPr>
          <w:rFonts w:ascii="Times New Roman" w:hAnsi="Times New Roman" w:cs="Times New Roman"/>
          <w:sz w:val="24"/>
          <w:szCs w:val="24"/>
        </w:rPr>
      </w:pPr>
      <w:r>
        <w:rPr>
          <w:rFonts w:ascii="Times New Roman" w:hAnsi="Times New Roman" w:cs="Times New Roman"/>
          <w:sz w:val="24"/>
          <w:szCs w:val="24"/>
        </w:rPr>
        <w:lastRenderedPageBreak/>
        <w:t>Luis Dumont, on the other hand, tried to understand the traditional pan-Indian social organization from the intellectualist viewpoint, with the central focus being the exposition of hierarchy (1980 [1970]).</w:t>
      </w:r>
    </w:p>
    <w:p w:rsidR="00EA1FD4" w:rsidRDefault="00EA1FD4" w:rsidP="00730F43">
      <w:pPr>
        <w:jc w:val="both"/>
        <w:rPr>
          <w:rFonts w:ascii="Times New Roman" w:hAnsi="Times New Roman" w:cs="Times New Roman"/>
          <w:sz w:val="24"/>
          <w:szCs w:val="24"/>
        </w:rPr>
      </w:pPr>
      <w:r>
        <w:rPr>
          <w:rFonts w:ascii="Times New Roman" w:hAnsi="Times New Roman" w:cs="Times New Roman"/>
          <w:sz w:val="24"/>
          <w:szCs w:val="24"/>
        </w:rPr>
        <w:t xml:space="preserve">The functional relation of religion to social structure was the central focus of W.H.R. River’s monograph on the Todas (1906), </w:t>
      </w:r>
      <w:r w:rsidR="00571A70">
        <w:rPr>
          <w:rFonts w:ascii="Times New Roman" w:hAnsi="Times New Roman" w:cs="Times New Roman"/>
          <w:sz w:val="24"/>
          <w:szCs w:val="24"/>
        </w:rPr>
        <w:t>Radcliffe-Brown’s on the Andamanese (1922), and Srinivas’ on the Coorgs (1952). The characteristic problem of these classic studies was to identify the religious cults associated with the different basic units of social structure – family, village, caste, etc. – and to trace the network of functional relations</w:t>
      </w:r>
      <w:r w:rsidR="006607CF">
        <w:rPr>
          <w:rFonts w:ascii="Times New Roman" w:hAnsi="Times New Roman" w:cs="Times New Roman"/>
          <w:sz w:val="24"/>
          <w:szCs w:val="24"/>
        </w:rPr>
        <w:t xml:space="preserve"> </w:t>
      </w:r>
      <w:r w:rsidR="00571A70">
        <w:rPr>
          <w:rFonts w:ascii="Times New Roman" w:hAnsi="Times New Roman" w:cs="Times New Roman"/>
          <w:sz w:val="24"/>
          <w:szCs w:val="24"/>
        </w:rPr>
        <w:t>which bound them together.</w:t>
      </w:r>
    </w:p>
    <w:p w:rsidR="00571A70" w:rsidRDefault="00571A70" w:rsidP="00730F43">
      <w:pPr>
        <w:jc w:val="both"/>
        <w:rPr>
          <w:rFonts w:ascii="Times New Roman" w:hAnsi="Times New Roman" w:cs="Times New Roman"/>
          <w:sz w:val="24"/>
          <w:szCs w:val="24"/>
        </w:rPr>
      </w:pPr>
      <w:r>
        <w:rPr>
          <w:rFonts w:ascii="Times New Roman" w:hAnsi="Times New Roman" w:cs="Times New Roman"/>
          <w:sz w:val="24"/>
          <w:szCs w:val="24"/>
        </w:rPr>
        <w:t xml:space="preserve">Many later studies, however, have tried to trace the functional relations of other aspects of culture to social structure: </w:t>
      </w:r>
      <w:r w:rsidR="00CE008E">
        <w:rPr>
          <w:rFonts w:ascii="Times New Roman" w:hAnsi="Times New Roman" w:cs="Times New Roman"/>
          <w:sz w:val="24"/>
          <w:szCs w:val="24"/>
        </w:rPr>
        <w:t xml:space="preserve">of politics to social structure, of economics to social structure, of law to social structure, of language to social structure, etc. The works of F.G. Bailey, Barth, A. Beteille, T.S. Epstein, and C. Gough, among others, illustrate this trend. At the same time, there is a new interest in the conditions and course of change in these functional relationships. Nicholas, for example, seeks to determine the generic interrelations at the village level of political conflict, land tenure, and social structure, and how these are being </w:t>
      </w:r>
      <w:r w:rsidR="00563A93">
        <w:rPr>
          <w:rFonts w:ascii="Times New Roman" w:hAnsi="Times New Roman" w:cs="Times New Roman"/>
          <w:sz w:val="24"/>
          <w:szCs w:val="24"/>
        </w:rPr>
        <w:t>changed by</w:t>
      </w:r>
      <w:r w:rsidR="00CE008E">
        <w:rPr>
          <w:rFonts w:ascii="Times New Roman" w:hAnsi="Times New Roman" w:cs="Times New Roman"/>
          <w:sz w:val="24"/>
          <w:szCs w:val="24"/>
        </w:rPr>
        <w:t xml:space="preserve"> the coming of universal suffrage and land reform. Srinivas pointed out that </w:t>
      </w:r>
      <w:r w:rsidR="004F24E1">
        <w:rPr>
          <w:rFonts w:ascii="Times New Roman" w:hAnsi="Times New Roman" w:cs="Times New Roman"/>
          <w:sz w:val="24"/>
          <w:szCs w:val="24"/>
        </w:rPr>
        <w:t>sanskritization involves a change in position in the caste system but not a change in the system itself.</w:t>
      </w:r>
    </w:p>
    <w:p w:rsidR="007228C0" w:rsidRPr="00730F43" w:rsidRDefault="007228C0" w:rsidP="00730F43">
      <w:pPr>
        <w:jc w:val="both"/>
        <w:rPr>
          <w:rFonts w:ascii="Times New Roman" w:hAnsi="Times New Roman" w:cs="Times New Roman"/>
          <w:sz w:val="24"/>
          <w:szCs w:val="24"/>
        </w:rPr>
      </w:pPr>
    </w:p>
    <w:sectPr w:rsidR="007228C0" w:rsidRPr="00730F43" w:rsidSect="00A776CC">
      <w:foot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5CDB" w:rsidRDefault="001D5CDB" w:rsidP="003665DF">
      <w:pPr>
        <w:spacing w:after="0" w:line="240" w:lineRule="auto"/>
      </w:pPr>
      <w:r>
        <w:separator/>
      </w:r>
    </w:p>
  </w:endnote>
  <w:endnote w:type="continuationSeparator" w:id="1">
    <w:p w:rsidR="001D5CDB" w:rsidRDefault="001D5CDB" w:rsidP="003665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099157"/>
      <w:docPartObj>
        <w:docPartGallery w:val="Page Numbers (Bottom of Page)"/>
        <w:docPartUnique/>
      </w:docPartObj>
    </w:sdtPr>
    <w:sdtContent>
      <w:p w:rsidR="003665DF" w:rsidRDefault="00A776CC">
        <w:pPr>
          <w:pStyle w:val="Footer"/>
          <w:jc w:val="center"/>
        </w:pPr>
        <w:fldSimple w:instr=" PAGE   \* MERGEFORMAT ">
          <w:r w:rsidR="00752F53">
            <w:rPr>
              <w:noProof/>
            </w:rPr>
            <w:t>1</w:t>
          </w:r>
        </w:fldSimple>
      </w:p>
    </w:sdtContent>
  </w:sdt>
  <w:p w:rsidR="003665DF" w:rsidRDefault="003665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5CDB" w:rsidRDefault="001D5CDB" w:rsidP="003665DF">
      <w:pPr>
        <w:spacing w:after="0" w:line="240" w:lineRule="auto"/>
      </w:pPr>
      <w:r>
        <w:separator/>
      </w:r>
    </w:p>
  </w:footnote>
  <w:footnote w:type="continuationSeparator" w:id="1">
    <w:p w:rsidR="001D5CDB" w:rsidRDefault="001D5CDB" w:rsidP="003665D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20"/>
  <w:characterSpacingControl w:val="doNotCompress"/>
  <w:footnotePr>
    <w:footnote w:id="0"/>
    <w:footnote w:id="1"/>
  </w:footnotePr>
  <w:endnotePr>
    <w:endnote w:id="0"/>
    <w:endnote w:id="1"/>
  </w:endnotePr>
  <w:compat>
    <w:useFELayout/>
  </w:compat>
  <w:rsids>
    <w:rsidRoot w:val="00730F43"/>
    <w:rsid w:val="000F45CC"/>
    <w:rsid w:val="001D5CDB"/>
    <w:rsid w:val="00266FD2"/>
    <w:rsid w:val="003665DF"/>
    <w:rsid w:val="004B5F8F"/>
    <w:rsid w:val="004F24E1"/>
    <w:rsid w:val="00563A93"/>
    <w:rsid w:val="00571A70"/>
    <w:rsid w:val="006607CF"/>
    <w:rsid w:val="007228C0"/>
    <w:rsid w:val="00730F43"/>
    <w:rsid w:val="00752F53"/>
    <w:rsid w:val="008657A3"/>
    <w:rsid w:val="00A65D41"/>
    <w:rsid w:val="00A776CC"/>
    <w:rsid w:val="00CE008E"/>
    <w:rsid w:val="00EA1FD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6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665D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665DF"/>
  </w:style>
  <w:style w:type="paragraph" w:styleId="Footer">
    <w:name w:val="footer"/>
    <w:basedOn w:val="Normal"/>
    <w:link w:val="FooterChar"/>
    <w:uiPriority w:val="99"/>
    <w:unhideWhenUsed/>
    <w:rsid w:val="003665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5D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11</cp:revision>
  <dcterms:created xsi:type="dcterms:W3CDTF">2020-04-28T15:19:00Z</dcterms:created>
  <dcterms:modified xsi:type="dcterms:W3CDTF">2020-05-03T12:07:00Z</dcterms:modified>
</cp:coreProperties>
</file>