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C19" w:rsidRPr="00B43CE9" w:rsidRDefault="00183C19" w:rsidP="00B43CE9">
      <w:pPr>
        <w:shd w:val="clear" w:color="auto" w:fill="F8F8F8"/>
        <w:spacing w:after="0"/>
        <w:jc w:val="center"/>
        <w:rPr>
          <w:rFonts w:ascii="Times New Roman" w:eastAsia="Times New Roman" w:hAnsi="Times New Roman" w:cs="Times New Roman"/>
          <w:b/>
          <w:color w:val="000000" w:themeColor="text1"/>
          <w:sz w:val="24"/>
          <w:szCs w:val="24"/>
          <w:lang w:val="en-GB"/>
        </w:rPr>
      </w:pPr>
      <w:r w:rsidRPr="00B43CE9">
        <w:rPr>
          <w:rFonts w:ascii="Times New Roman" w:eastAsia="Times New Roman" w:hAnsi="Times New Roman" w:cs="Times New Roman"/>
          <w:b/>
          <w:color w:val="000000" w:themeColor="text1"/>
          <w:sz w:val="24"/>
          <w:szCs w:val="24"/>
          <w:lang w:val="en-GB"/>
        </w:rPr>
        <w:t>Malinowski</w:t>
      </w:r>
      <w:r w:rsidR="00B43CE9">
        <w:rPr>
          <w:rFonts w:ascii="Times New Roman" w:eastAsia="Times New Roman" w:hAnsi="Times New Roman" w:cs="Times New Roman"/>
          <w:b/>
          <w:color w:val="000000" w:themeColor="text1"/>
          <w:sz w:val="24"/>
          <w:szCs w:val="24"/>
          <w:lang w:val="en-GB"/>
        </w:rPr>
        <w:t>an</w:t>
      </w:r>
      <w:r w:rsidRPr="00B43CE9">
        <w:rPr>
          <w:rFonts w:ascii="Times New Roman" w:eastAsia="Times New Roman" w:hAnsi="Times New Roman" w:cs="Times New Roman"/>
          <w:b/>
          <w:color w:val="000000" w:themeColor="text1"/>
          <w:sz w:val="24"/>
          <w:szCs w:val="24"/>
          <w:lang w:val="en-GB"/>
        </w:rPr>
        <w:t xml:space="preserve"> fieldwork method</w:t>
      </w:r>
    </w:p>
    <w:p w:rsidR="00584A41" w:rsidRPr="00B43CE9" w:rsidRDefault="00584A41" w:rsidP="00B43CE9">
      <w:pPr>
        <w:shd w:val="clear" w:color="auto" w:fill="F8F8F8"/>
        <w:spacing w:after="0"/>
        <w:jc w:val="center"/>
        <w:rPr>
          <w:rFonts w:ascii="Times New Roman" w:eastAsia="Times New Roman" w:hAnsi="Times New Roman" w:cs="Times New Roman"/>
          <w:b/>
          <w:color w:val="000000" w:themeColor="text1"/>
          <w:sz w:val="24"/>
          <w:szCs w:val="24"/>
          <w:lang w:val="en-GB"/>
        </w:rPr>
      </w:pPr>
    </w:p>
    <w:p w:rsidR="002346C0" w:rsidRDefault="002346C0" w:rsidP="00B43CE9">
      <w:pPr>
        <w:shd w:val="clear" w:color="auto" w:fill="F8F8F8"/>
        <w:spacing w:after="0"/>
        <w:jc w:val="both"/>
        <w:outlineLvl w:val="1"/>
        <w:rPr>
          <w:rFonts w:ascii="Times New Roman" w:eastAsia="Times New Roman" w:hAnsi="Times New Roman" w:cs="Times New Roman"/>
          <w:b/>
          <w:bCs/>
          <w:color w:val="000000" w:themeColor="text1"/>
          <w:sz w:val="24"/>
          <w:szCs w:val="24"/>
        </w:rPr>
      </w:pPr>
      <w:r w:rsidRPr="00183C19">
        <w:rPr>
          <w:rFonts w:ascii="Times New Roman" w:eastAsia="Times New Roman" w:hAnsi="Times New Roman" w:cs="Times New Roman"/>
          <w:b/>
          <w:bCs/>
          <w:color w:val="000000" w:themeColor="text1"/>
          <w:sz w:val="24"/>
          <w:szCs w:val="24"/>
        </w:rPr>
        <w:t>New methodology</w:t>
      </w:r>
    </w:p>
    <w:p w:rsidR="00F06CE0" w:rsidRPr="00183C19" w:rsidRDefault="00F06CE0" w:rsidP="00B43CE9">
      <w:pPr>
        <w:shd w:val="clear" w:color="auto" w:fill="F8F8F8"/>
        <w:spacing w:after="0"/>
        <w:jc w:val="both"/>
        <w:outlineLvl w:val="1"/>
        <w:rPr>
          <w:rFonts w:ascii="Times New Roman" w:eastAsia="Times New Roman" w:hAnsi="Times New Roman" w:cs="Times New Roman"/>
          <w:b/>
          <w:bCs/>
          <w:color w:val="000000" w:themeColor="text1"/>
          <w:sz w:val="24"/>
          <w:szCs w:val="24"/>
        </w:rPr>
      </w:pPr>
    </w:p>
    <w:p w:rsidR="002346C0" w:rsidRPr="00183C19" w:rsidRDefault="00F05678" w:rsidP="00B43CE9">
      <w:pPr>
        <w:shd w:val="clear" w:color="auto" w:fill="F8F8F8"/>
        <w:spacing w:after="282"/>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GB"/>
        </w:rPr>
        <w:t>U</w:t>
      </w:r>
      <w:r w:rsidR="002346C0" w:rsidRPr="00183C19">
        <w:rPr>
          <w:rFonts w:ascii="Times New Roman" w:eastAsia="Times New Roman" w:hAnsi="Times New Roman" w:cs="Times New Roman"/>
          <w:color w:val="000000" w:themeColor="text1"/>
          <w:sz w:val="24"/>
          <w:szCs w:val="24"/>
          <w:lang w:val="en-GB"/>
        </w:rPr>
        <w:t>ntil Malinowski’s time, most anthropologists worked at the desk, reading and analysing texts, rarely conducting any fieldwork. They focused on shocking and sensational matters, especially those that seemed particularly alien to Western norms. Malinowski, basing on his own two-year experience of research on the Trobriand, formulates postulates and rules that every anthropologist doing fieldwork should follow.</w:t>
      </w:r>
    </w:p>
    <w:p w:rsidR="002346C0" w:rsidRPr="00B43CE9" w:rsidRDefault="002346C0" w:rsidP="00B43CE9">
      <w:pPr>
        <w:shd w:val="clear" w:color="auto" w:fill="F8F8F8"/>
        <w:spacing w:before="282" w:after="282"/>
        <w:jc w:val="both"/>
        <w:rPr>
          <w:rFonts w:ascii="Times New Roman" w:eastAsia="Times New Roman" w:hAnsi="Times New Roman" w:cs="Times New Roman"/>
          <w:color w:val="000000" w:themeColor="text1"/>
          <w:sz w:val="24"/>
          <w:szCs w:val="24"/>
          <w:lang w:val="en-GB"/>
        </w:rPr>
      </w:pPr>
      <w:r w:rsidRPr="00183C19">
        <w:rPr>
          <w:rFonts w:ascii="Times New Roman" w:eastAsia="Times New Roman" w:hAnsi="Times New Roman" w:cs="Times New Roman"/>
          <w:color w:val="000000" w:themeColor="text1"/>
          <w:sz w:val="24"/>
          <w:szCs w:val="24"/>
          <w:lang w:val="en-GB"/>
        </w:rPr>
        <w:t>According to him, a good researcher focuses on trying to see the world with the eyes of the local people and permeate through his thinking and feeling up until understanding these processes. An anthropologist should also establish what is a norm, custom, or a rule in a given community.</w:t>
      </w:r>
    </w:p>
    <w:p w:rsidR="002346C0" w:rsidRPr="00B43CE9" w:rsidRDefault="002346C0" w:rsidP="00B43CE9">
      <w:pPr>
        <w:shd w:val="clear" w:color="auto" w:fill="F8F8F8"/>
        <w:spacing w:before="282" w:after="282"/>
        <w:jc w:val="both"/>
        <w:rPr>
          <w:rFonts w:ascii="Times New Roman" w:eastAsia="Times New Roman" w:hAnsi="Times New Roman" w:cs="Times New Roman"/>
          <w:color w:val="000000" w:themeColor="text1"/>
          <w:sz w:val="24"/>
          <w:szCs w:val="24"/>
          <w:lang w:val="en-GB"/>
        </w:rPr>
      </w:pPr>
      <w:r w:rsidRPr="00B43CE9">
        <w:rPr>
          <w:rFonts w:ascii="Times New Roman" w:hAnsi="Times New Roman" w:cs="Times New Roman"/>
          <w:b/>
          <w:color w:val="000000" w:themeColor="text1"/>
          <w:sz w:val="24"/>
          <w:szCs w:val="24"/>
          <w:shd w:val="clear" w:color="auto" w:fill="FFFFFF"/>
        </w:rPr>
        <w:t>Growing up of the Malinowskian tradition</w:t>
      </w:r>
    </w:p>
    <w:p w:rsidR="005121E4" w:rsidRPr="00B43CE9" w:rsidRDefault="005121E4"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Malinowski came to LSE from Poland via Leipzig in 1910, taking up postgraduate studies in ethnology. He soon graduated from student to fieldworker and teacher, beginning lecturing in 1913, before setting off for research in the South Seas in 1914. </w:t>
      </w:r>
    </w:p>
    <w:p w:rsidR="005121E4" w:rsidRPr="00B43CE9" w:rsidRDefault="00105B8A" w:rsidP="00B43CE9">
      <w:pPr>
        <w:pStyle w:val="NormalWeb"/>
        <w:shd w:val="clear" w:color="auto" w:fill="FFFFFF"/>
        <w:spacing w:before="0" w:beforeAutospacing="0" w:after="282" w:afterAutospacing="0" w:line="276" w:lineRule="auto"/>
        <w:jc w:val="both"/>
        <w:rPr>
          <w:color w:val="000000" w:themeColor="text1"/>
        </w:rPr>
      </w:pPr>
      <w:r>
        <w:rPr>
          <w:color w:val="000000" w:themeColor="text1"/>
          <w:lang w:val="en-GB"/>
        </w:rPr>
        <w:t>In 1914 Malinowski managed</w:t>
      </w:r>
      <w:r w:rsidR="002346C0" w:rsidRPr="00B43CE9">
        <w:rPr>
          <w:color w:val="000000" w:themeColor="text1"/>
          <w:lang w:val="en-GB"/>
        </w:rPr>
        <w:t xml:space="preserve"> to gain funds for research in the Trobriand Islands. In the first stage of the journey he </w:t>
      </w:r>
      <w:r>
        <w:rPr>
          <w:color w:val="000000" w:themeColor="text1"/>
          <w:lang w:val="en-GB"/>
        </w:rPr>
        <w:t>was</w:t>
      </w:r>
      <w:r w:rsidR="002346C0" w:rsidRPr="00B43CE9">
        <w:rPr>
          <w:color w:val="000000" w:themeColor="text1"/>
          <w:lang w:val="en-GB"/>
        </w:rPr>
        <w:t xml:space="preserve"> accompanied by the famous Polish writer and painter, </w:t>
      </w:r>
      <w:hyperlink r:id="rId6" w:tgtFrame="_blank" w:history="1">
        <w:r w:rsidR="002346C0" w:rsidRPr="00B43CE9">
          <w:rPr>
            <w:rStyle w:val="Hyperlink"/>
            <w:color w:val="000000" w:themeColor="text1"/>
            <w:lang w:val="en-GB"/>
          </w:rPr>
          <w:t>Stanisław Ignacy Witkiewicz (Witkacy)</w:t>
        </w:r>
      </w:hyperlink>
      <w:r w:rsidR="002346C0" w:rsidRPr="00B43CE9">
        <w:rPr>
          <w:color w:val="000000" w:themeColor="text1"/>
          <w:lang w:val="en-GB"/>
        </w:rPr>
        <w:t>. However, Malinowski’s friend decide</w:t>
      </w:r>
      <w:r>
        <w:rPr>
          <w:color w:val="000000" w:themeColor="text1"/>
          <w:lang w:val="en-GB"/>
        </w:rPr>
        <w:t>d</w:t>
      </w:r>
      <w:r w:rsidR="002346C0" w:rsidRPr="00B43CE9">
        <w:rPr>
          <w:color w:val="000000" w:themeColor="text1"/>
          <w:lang w:val="en-GB"/>
        </w:rPr>
        <w:t xml:space="preserve"> to return to Poland after hearing the news about the outbreak of World War I.</w:t>
      </w:r>
      <w:r w:rsidR="005121E4" w:rsidRPr="00B43CE9">
        <w:rPr>
          <w:color w:val="000000" w:themeColor="text1"/>
        </w:rPr>
        <w:t xml:space="preserve"> </w:t>
      </w:r>
      <w:r>
        <w:rPr>
          <w:color w:val="000000" w:themeColor="text1"/>
        </w:rPr>
        <w:t xml:space="preserve">But Malinowski did not. </w:t>
      </w:r>
      <w:r w:rsidR="005121E4" w:rsidRPr="00B43CE9">
        <w:rPr>
          <w:color w:val="000000" w:themeColor="text1"/>
        </w:rPr>
        <w:t>He spent almost two years in the Trobriand Islands off the east coast of New Guinea, doing the long-term fieldwork that was to revolutionise anthropological research methods.</w:t>
      </w:r>
    </w:p>
    <w:p w:rsidR="002346C0" w:rsidRPr="00B43CE9" w:rsidRDefault="002346C0" w:rsidP="00B43CE9">
      <w:pPr>
        <w:pStyle w:val="NormalWeb"/>
        <w:shd w:val="clear" w:color="auto" w:fill="F8F8F8"/>
        <w:spacing w:before="282" w:beforeAutospacing="0" w:after="282" w:afterAutospacing="0" w:line="276" w:lineRule="auto"/>
        <w:jc w:val="both"/>
        <w:rPr>
          <w:color w:val="000000" w:themeColor="text1"/>
        </w:rPr>
      </w:pPr>
      <w:r w:rsidRPr="00B43CE9">
        <w:rPr>
          <w:color w:val="000000" w:themeColor="text1"/>
          <w:lang w:val="en-GB"/>
        </w:rPr>
        <w:t>Malinowski continues his fieldwork during subsequent travels to Australia and Oceania. In 1916, he gains his Ph</w:t>
      </w:r>
      <w:r w:rsidR="00105B8A">
        <w:rPr>
          <w:color w:val="000000" w:themeColor="text1"/>
          <w:lang w:val="en-GB"/>
        </w:rPr>
        <w:t>.</w:t>
      </w:r>
      <w:r w:rsidRPr="00B43CE9">
        <w:rPr>
          <w:color w:val="000000" w:themeColor="text1"/>
          <w:lang w:val="en-GB"/>
        </w:rPr>
        <w:t>D</w:t>
      </w:r>
      <w:r w:rsidR="00105B8A">
        <w:rPr>
          <w:color w:val="000000" w:themeColor="text1"/>
          <w:lang w:val="en-GB"/>
        </w:rPr>
        <w:t>.</w:t>
      </w:r>
      <w:r w:rsidRPr="00B43CE9">
        <w:rPr>
          <w:color w:val="000000" w:themeColor="text1"/>
          <w:lang w:val="en-GB"/>
        </w:rPr>
        <w:t xml:space="preserve"> at the University of London. </w:t>
      </w:r>
    </w:p>
    <w:p w:rsidR="002346C0" w:rsidRPr="00B43CE9" w:rsidRDefault="002346C0" w:rsidP="00B43CE9">
      <w:pPr>
        <w:shd w:val="clear" w:color="auto" w:fill="F8F8F8"/>
        <w:spacing w:before="282" w:after="0"/>
        <w:jc w:val="both"/>
        <w:rPr>
          <w:rFonts w:ascii="Times New Roman" w:eastAsia="Times New Roman" w:hAnsi="Times New Roman" w:cs="Times New Roman"/>
          <w:color w:val="000000" w:themeColor="text1"/>
          <w:sz w:val="24"/>
          <w:szCs w:val="24"/>
          <w:lang w:val="en-GB"/>
        </w:rPr>
      </w:pPr>
      <w:r w:rsidRPr="00183C19">
        <w:rPr>
          <w:rFonts w:ascii="Times New Roman" w:eastAsia="Times New Roman" w:hAnsi="Times New Roman" w:cs="Times New Roman"/>
          <w:color w:val="000000" w:themeColor="text1"/>
          <w:sz w:val="24"/>
          <w:szCs w:val="24"/>
          <w:lang w:val="en-GB"/>
        </w:rPr>
        <w:t>A researcher</w:t>
      </w:r>
      <w:r w:rsidR="00105B8A">
        <w:rPr>
          <w:rFonts w:ascii="Times New Roman" w:eastAsia="Times New Roman" w:hAnsi="Times New Roman" w:cs="Times New Roman"/>
          <w:color w:val="000000" w:themeColor="text1"/>
          <w:sz w:val="24"/>
          <w:szCs w:val="24"/>
          <w:lang w:val="en-GB"/>
        </w:rPr>
        <w:t>, for Malinowski, should</w:t>
      </w:r>
      <w:r w:rsidRPr="00183C19">
        <w:rPr>
          <w:rFonts w:ascii="Times New Roman" w:eastAsia="Times New Roman" w:hAnsi="Times New Roman" w:cs="Times New Roman"/>
          <w:color w:val="000000" w:themeColor="text1"/>
          <w:sz w:val="24"/>
          <w:szCs w:val="24"/>
          <w:lang w:val="en-GB"/>
        </w:rPr>
        <w:t xml:space="preserve"> speak the local language. Usually it is possible to learn it only after arrival. Constructing a methodology is also crucial.</w:t>
      </w:r>
      <w:r w:rsidR="005121E4" w:rsidRPr="00B43CE9">
        <w:rPr>
          <w:rFonts w:ascii="Times New Roman" w:eastAsia="Times New Roman" w:hAnsi="Times New Roman" w:cs="Times New Roman"/>
          <w:color w:val="000000" w:themeColor="text1"/>
          <w:sz w:val="24"/>
          <w:szCs w:val="24"/>
          <w:lang w:val="en-GB"/>
        </w:rPr>
        <w:t xml:space="preserve"> </w:t>
      </w:r>
      <w:r w:rsidRPr="00183C19">
        <w:rPr>
          <w:rFonts w:ascii="Times New Roman" w:eastAsia="Times New Roman" w:hAnsi="Times New Roman" w:cs="Times New Roman"/>
          <w:color w:val="000000" w:themeColor="text1"/>
          <w:sz w:val="24"/>
          <w:szCs w:val="24"/>
          <w:lang w:val="en-GB"/>
        </w:rPr>
        <w:t>An anthropologist does not prepare any concept for the research and should not listen to any suggestions of other observers, as these are mostly burdened with stereotypes. It is a researcher’s duty to respect the laws, customs and rules of the community. It is also required to have an ability to sense which behaviours are wrong and right in each culture.</w:t>
      </w:r>
      <w:r w:rsidR="005121E4" w:rsidRPr="00B43CE9">
        <w:rPr>
          <w:rFonts w:ascii="Times New Roman" w:eastAsia="Times New Roman" w:hAnsi="Times New Roman" w:cs="Times New Roman"/>
          <w:color w:val="000000" w:themeColor="text1"/>
          <w:sz w:val="24"/>
          <w:szCs w:val="24"/>
          <w:lang w:val="en-GB"/>
        </w:rPr>
        <w:t xml:space="preserve"> </w:t>
      </w:r>
      <w:r w:rsidRPr="00183C19">
        <w:rPr>
          <w:rFonts w:ascii="Times New Roman" w:eastAsia="Times New Roman" w:hAnsi="Times New Roman" w:cs="Times New Roman"/>
          <w:color w:val="000000" w:themeColor="text1"/>
          <w:sz w:val="24"/>
          <w:szCs w:val="24"/>
          <w:lang w:val="en-GB"/>
        </w:rPr>
        <w:t>Impeding the life of the community is ruled out. Only the acceptance of the perceived habits can lead to valuable observations, as otherwise the local people will not behave in a natural way.</w:t>
      </w:r>
    </w:p>
    <w:p w:rsidR="00892D75" w:rsidRDefault="00892D75" w:rsidP="00B43CE9">
      <w:pPr>
        <w:shd w:val="clear" w:color="auto" w:fill="F8F8F8"/>
        <w:spacing w:after="0"/>
        <w:jc w:val="both"/>
        <w:rPr>
          <w:rFonts w:ascii="Times New Roman" w:hAnsi="Times New Roman" w:cs="Times New Roman"/>
          <w:color w:val="000000" w:themeColor="text1"/>
          <w:sz w:val="24"/>
          <w:szCs w:val="24"/>
          <w:shd w:val="clear" w:color="auto" w:fill="FFFFFF"/>
        </w:rPr>
      </w:pPr>
    </w:p>
    <w:p w:rsidR="002346C0" w:rsidRPr="00B43CE9" w:rsidRDefault="002346C0" w:rsidP="00B43CE9">
      <w:pPr>
        <w:shd w:val="clear" w:color="auto" w:fill="F8F8F8"/>
        <w:spacing w:after="0"/>
        <w:jc w:val="both"/>
        <w:rPr>
          <w:rFonts w:ascii="Times New Roman" w:hAnsi="Times New Roman" w:cs="Times New Roman"/>
          <w:color w:val="000000" w:themeColor="text1"/>
          <w:sz w:val="24"/>
          <w:szCs w:val="24"/>
          <w:shd w:val="clear" w:color="auto" w:fill="FFFFFF"/>
        </w:rPr>
      </w:pPr>
      <w:r w:rsidRPr="00B43CE9">
        <w:rPr>
          <w:rFonts w:ascii="Times New Roman" w:hAnsi="Times New Roman" w:cs="Times New Roman"/>
          <w:color w:val="000000" w:themeColor="text1"/>
          <w:sz w:val="24"/>
          <w:szCs w:val="24"/>
          <w:shd w:val="clear" w:color="auto" w:fill="FFFFFF"/>
        </w:rPr>
        <w:t>On 1 August 1927, Bronislaw Malinowski took up the Chair in Social Anthropology at LSE, the first of its kind in London. He was three years into his fourteen-year career at LSE, over which time he established the School as a key centre in Europe of the study of what were then referred to as ‘primitive peoples’.</w:t>
      </w:r>
    </w:p>
    <w:p w:rsidR="002346C0" w:rsidRPr="00B43CE9" w:rsidRDefault="002346C0" w:rsidP="00B43CE9">
      <w:pPr>
        <w:shd w:val="clear" w:color="auto" w:fill="F8F8F8"/>
        <w:spacing w:after="0"/>
        <w:jc w:val="both"/>
        <w:rPr>
          <w:rFonts w:ascii="Times New Roman" w:hAnsi="Times New Roman" w:cs="Times New Roman"/>
          <w:color w:val="000000" w:themeColor="text1"/>
          <w:sz w:val="24"/>
          <w:szCs w:val="24"/>
          <w:shd w:val="clear" w:color="auto" w:fill="FFFFFF"/>
        </w:rPr>
      </w:pP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Malinowski’s study of a system of exchange of shell jewellery around a circuit of far-flung islands, known as the ‘kula ring’, formed the basis of his best-known work, </w:t>
      </w:r>
      <w:r w:rsidRPr="00B43CE9">
        <w:rPr>
          <w:rStyle w:val="Emphasis"/>
          <w:color w:val="000000" w:themeColor="text1"/>
        </w:rPr>
        <w:t>Argonauts of the Western Pacific</w:t>
      </w:r>
      <w:r w:rsidRPr="00B43CE9">
        <w:rPr>
          <w:color w:val="000000" w:themeColor="text1"/>
        </w:rPr>
        <w:t> (1922). </w:t>
      </w:r>
      <w:r w:rsidRPr="00B43CE9">
        <w:rPr>
          <w:rStyle w:val="Emphasis"/>
          <w:color w:val="000000" w:themeColor="text1"/>
        </w:rPr>
        <w:t>Argonauts</w:t>
      </w:r>
      <w:r w:rsidRPr="00B43CE9">
        <w:rPr>
          <w:color w:val="000000" w:themeColor="text1"/>
        </w:rPr>
        <w:t> showed how the exchange of objects without any apparent use value was a way of facilitating trade, negotiating status and extending relationships. The exchange functioned, Malinowski suggested, as a surrogate for warfare.</w:t>
      </w: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Returning to the LSE’s tiny Department of Ethnology (headed by C G Seligman) in the early 1920s, Malinowski brought with him field</w:t>
      </w:r>
      <w:r w:rsidR="00105B8A">
        <w:rPr>
          <w:color w:val="000000" w:themeColor="text1"/>
        </w:rPr>
        <w:t xml:space="preserve"> </w:t>
      </w:r>
      <w:r w:rsidRPr="00B43CE9">
        <w:rPr>
          <w:color w:val="000000" w:themeColor="text1"/>
        </w:rPr>
        <w:t>notes on exchange, magic, technical arts, sexual mores, and food cultivation. Accompanying these were his energetic spirits of teaching and enterprise.</w:t>
      </w: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He introduced several new courses, among them ‘Systems of Kinship in Primitive Societies’ and ‘Primitive Culture and Mythology’, and increased lecture hours from an average of below 40 per year to 120. Soon, the weekly seminar he convened – which still runs today – became a draw. The seminars were ‘held in a small room with… a fire blazing in the grate’, with Malinowski seated ‘in a large basket chair’</w:t>
      </w:r>
      <w:r w:rsidR="00105B8A">
        <w:rPr>
          <w:color w:val="000000" w:themeColor="text1"/>
        </w:rPr>
        <w:t>, as</w:t>
      </w:r>
      <w:r w:rsidRPr="00B43CE9">
        <w:rPr>
          <w:color w:val="000000" w:themeColor="text1"/>
        </w:rPr>
        <w:t xml:space="preserve"> </w:t>
      </w:r>
      <w:r w:rsidR="00105B8A">
        <w:rPr>
          <w:color w:val="000000" w:themeColor="text1"/>
        </w:rPr>
        <w:t xml:space="preserve">observed by the </w:t>
      </w:r>
      <w:r w:rsidRPr="00B43CE9">
        <w:rPr>
          <w:color w:val="000000" w:themeColor="text1"/>
        </w:rPr>
        <w:t>sociologist Edward Westermarck. </w:t>
      </w:r>
      <w:r w:rsidR="00105B8A" w:rsidRPr="00B43CE9">
        <w:rPr>
          <w:color w:val="000000" w:themeColor="text1"/>
        </w:rPr>
        <w:t xml:space="preserve"> </w:t>
      </w:r>
      <w:r w:rsidRPr="00B43CE9">
        <w:rPr>
          <w:color w:val="000000" w:themeColor="text1"/>
        </w:rPr>
        <w:t>Leading the rigorous seminar, Malinowski’s ‘constant question was: “Where does the real problem lie?”’. Then-student Raymond Firth remarked that Malinowski saw the major questions ‘not in terms of fine-spun academic theories, but arising out of the behaviour of ordinary human beings’. Among those attending the seminar in the 1930s were UN diplomat Ralph Bunche, Jomo Kenyatta, several African-American political radicals, and Jack Simons of the South African Communist Party, whom Professor Michael Cox quotes as saying: ‘I combined Malinowski with Lenin, and it was a perfect combination’.</w:t>
      </w: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 xml:space="preserve">Malinowski was appointed to an LSE Readership in 1924, just as social anthropology was establishing itself in Britain, in London at the LSE and UCL (whose rivalry kept pace with those departments’ parallel expansions), and at the universities of Oxford and Cambridge. UCL </w:t>
      </w:r>
      <w:r w:rsidR="004073A9">
        <w:rPr>
          <w:color w:val="000000" w:themeColor="text1"/>
        </w:rPr>
        <w:t xml:space="preserve">(University College of London) </w:t>
      </w:r>
      <w:r w:rsidRPr="00B43CE9">
        <w:rPr>
          <w:color w:val="000000" w:themeColor="text1"/>
        </w:rPr>
        <w:t>was a centre for ‘diffusionism’, the idea that cultures spread through contact, while LSE was dominated by social evolutionists. Malinowski entered this world with his own approach of functionalism, which proposed that one must search for the use of a custom in the present; its function within the context of the whole society. This, he argued, would provide the most empirically grounded explanation for a practice’s existence.</w:t>
      </w: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In the 1920s, substantial funding from the Laura Spelman Rockefeller Memorial Fund enabled the LSE to undergo sustained expansion, prompting the quip that it was an institution ‘on which the concrete never sets’. The 1927 Anthropology Chair was one outcome of Rockefeller largesse towards LSE social sciences. Malinowski was no passive beneficiary, however: Cox has observed that he was ‘an extraordinary entrepreneur’, bringing influential people to the School, making contacts with the Colonial Office, and generally propagating, in LSE’s pragmatic idiom, the practical uses of anthropological research. As Cox has quipped, ‘in an age of impact, Malinowski would have been loved by university administrations’.</w:t>
      </w: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lastRenderedPageBreak/>
        <w:t>Malinowski was an intense personality, with a buoyant ego and a capacity for strong feeling. Adam Kuper has called him a ‘charismatic leader surrounded by quarrelling acolytes’, and his ascendancy nurtured a formidable generation of British social anthropologists, among them Raymond Firth, </w:t>
      </w:r>
      <w:hyperlink r:id="rId7" w:history="1">
        <w:r w:rsidRPr="00B43CE9">
          <w:rPr>
            <w:rStyle w:val="Hyperlink"/>
            <w:color w:val="000000" w:themeColor="text1"/>
            <w:u w:val="none"/>
          </w:rPr>
          <w:t>Audrey Richards</w:t>
        </w:r>
      </w:hyperlink>
      <w:r w:rsidRPr="00B43CE9">
        <w:rPr>
          <w:color w:val="000000" w:themeColor="text1"/>
        </w:rPr>
        <w:t>, Meyer Fortes and Edward Evans-Pritchard, who shaped the discipline in its ‘golden era’.</w:t>
      </w:r>
    </w:p>
    <w:p w:rsidR="002346C0" w:rsidRPr="00B43CE9" w:rsidRDefault="002346C0" w:rsidP="00B43CE9">
      <w:pPr>
        <w:pStyle w:val="NormalWeb"/>
        <w:shd w:val="clear" w:color="auto" w:fill="FFFFFF"/>
        <w:spacing w:before="0" w:beforeAutospacing="0" w:after="282" w:afterAutospacing="0" w:line="276" w:lineRule="auto"/>
        <w:jc w:val="both"/>
        <w:rPr>
          <w:color w:val="000000" w:themeColor="text1"/>
        </w:rPr>
      </w:pPr>
      <w:r w:rsidRPr="00B43CE9">
        <w:rPr>
          <w:color w:val="000000" w:themeColor="text1"/>
        </w:rPr>
        <w:t>Malinowski remained at LSE anthropology’s helm until 1938, when, four years before his death, he left for the US on sabbatical leave. There, he lectured widely against Nazi totalitarianism, urging Americans to abandon their neutrality. His legacy in social anthropology has been profound. Best known for his innovation in fieldwork method, his detailed and evocative ethnographic works are classics familiar to any anthropology undergraduate. As Professor Maurice Bloch has remarked, his reputation as a theorist is also steadily growing.</w:t>
      </w:r>
    </w:p>
    <w:p w:rsidR="002346C0" w:rsidRPr="00B43CE9" w:rsidRDefault="002346C0" w:rsidP="00B43CE9">
      <w:pPr>
        <w:shd w:val="clear" w:color="auto" w:fill="F8F8F8"/>
        <w:spacing w:after="0"/>
        <w:jc w:val="both"/>
        <w:rPr>
          <w:rFonts w:ascii="Times New Roman" w:hAnsi="Times New Roman" w:cs="Times New Roman"/>
          <w:color w:val="000000" w:themeColor="text1"/>
          <w:sz w:val="24"/>
          <w:szCs w:val="24"/>
          <w:shd w:val="clear" w:color="auto" w:fill="FFFFFF"/>
        </w:rPr>
      </w:pPr>
      <w:r w:rsidRPr="00B43CE9">
        <w:rPr>
          <w:rFonts w:ascii="Times New Roman" w:hAnsi="Times New Roman" w:cs="Times New Roman"/>
          <w:color w:val="000000" w:themeColor="text1"/>
          <w:sz w:val="24"/>
          <w:szCs w:val="24"/>
          <w:shd w:val="clear" w:color="auto" w:fill="FFFFFF"/>
        </w:rPr>
        <w:t>Anthropology at LSE has come a long way since its imperialist framing in the 1905 School Catalogue, which noted the subject’s usefulness for ‘civil servants destined for tropical portions of the Empire’. Ninety years after Malinowski took up his Chair, the vision of today’s anthropology department is, necessarily, very different. But anthropology’s guiding spirit remains: in Malinowski’s own words, ‘the final goal…is to grasp the native’s point of view, his relation to life, to realise </w:t>
      </w:r>
      <w:r w:rsidRPr="00B43CE9">
        <w:rPr>
          <w:rStyle w:val="Emphasis"/>
          <w:rFonts w:ascii="Times New Roman" w:hAnsi="Times New Roman" w:cs="Times New Roman"/>
          <w:color w:val="000000" w:themeColor="text1"/>
          <w:sz w:val="24"/>
          <w:szCs w:val="24"/>
          <w:shd w:val="clear" w:color="auto" w:fill="FFFFFF"/>
        </w:rPr>
        <w:t>his</w:t>
      </w:r>
      <w:r w:rsidRPr="00B43CE9">
        <w:rPr>
          <w:rFonts w:ascii="Times New Roman" w:hAnsi="Times New Roman" w:cs="Times New Roman"/>
          <w:color w:val="000000" w:themeColor="text1"/>
          <w:sz w:val="24"/>
          <w:szCs w:val="24"/>
          <w:shd w:val="clear" w:color="auto" w:fill="FFFFFF"/>
        </w:rPr>
        <w:t> vision of </w:t>
      </w:r>
      <w:r w:rsidRPr="00B43CE9">
        <w:rPr>
          <w:rStyle w:val="Emphasis"/>
          <w:rFonts w:ascii="Times New Roman" w:hAnsi="Times New Roman" w:cs="Times New Roman"/>
          <w:color w:val="000000" w:themeColor="text1"/>
          <w:sz w:val="24"/>
          <w:szCs w:val="24"/>
          <w:shd w:val="clear" w:color="auto" w:fill="FFFFFF"/>
        </w:rPr>
        <w:t>his</w:t>
      </w:r>
      <w:r w:rsidRPr="00B43CE9">
        <w:rPr>
          <w:rFonts w:ascii="Times New Roman" w:hAnsi="Times New Roman" w:cs="Times New Roman"/>
          <w:color w:val="000000" w:themeColor="text1"/>
          <w:sz w:val="24"/>
          <w:szCs w:val="24"/>
          <w:shd w:val="clear" w:color="auto" w:fill="FFFFFF"/>
        </w:rPr>
        <w:t> world’.</w:t>
      </w:r>
    </w:p>
    <w:p w:rsidR="002346C0" w:rsidRPr="00B43CE9" w:rsidRDefault="002346C0" w:rsidP="00B43CE9">
      <w:pPr>
        <w:shd w:val="clear" w:color="auto" w:fill="F8F8F8"/>
        <w:spacing w:after="0"/>
        <w:jc w:val="both"/>
        <w:rPr>
          <w:rFonts w:ascii="Times New Roman" w:eastAsia="Times New Roman" w:hAnsi="Times New Roman" w:cs="Times New Roman"/>
          <w:b/>
          <w:color w:val="000000" w:themeColor="text1"/>
          <w:sz w:val="24"/>
          <w:szCs w:val="24"/>
          <w:lang w:val="en-GB"/>
        </w:rPr>
      </w:pPr>
    </w:p>
    <w:p w:rsidR="002346C0" w:rsidRPr="00B43CE9" w:rsidRDefault="002346C0" w:rsidP="00B43CE9">
      <w:pPr>
        <w:shd w:val="clear" w:color="auto" w:fill="F8F8F8"/>
        <w:spacing w:after="0"/>
        <w:jc w:val="both"/>
        <w:rPr>
          <w:rFonts w:ascii="Times New Roman" w:eastAsia="Times New Roman" w:hAnsi="Times New Roman" w:cs="Times New Roman"/>
          <w:color w:val="000000" w:themeColor="text1"/>
          <w:sz w:val="24"/>
          <w:szCs w:val="24"/>
          <w:lang w:val="en-GB"/>
        </w:rPr>
      </w:pPr>
      <w:r w:rsidRPr="00183C19">
        <w:rPr>
          <w:rFonts w:ascii="Times New Roman" w:eastAsia="Times New Roman" w:hAnsi="Times New Roman" w:cs="Times New Roman"/>
          <w:color w:val="000000" w:themeColor="text1"/>
          <w:sz w:val="24"/>
          <w:szCs w:val="24"/>
          <w:lang w:val="en-GB"/>
        </w:rPr>
        <w:t>He defines culture as a system that serves to fulfil human needs. According to him, humans have needs that do not differ from those of animals, such as eating, drinking, sleeping, sex, movement and having a safe shelter, and needs that are purely human: for example love and intimacy.</w:t>
      </w:r>
    </w:p>
    <w:p w:rsidR="002346C0" w:rsidRPr="00183C19" w:rsidRDefault="002346C0" w:rsidP="00B43CE9">
      <w:pPr>
        <w:shd w:val="clear" w:color="auto" w:fill="F8F8F8"/>
        <w:spacing w:after="0"/>
        <w:jc w:val="both"/>
        <w:rPr>
          <w:rFonts w:ascii="Times New Roman" w:eastAsia="Times New Roman" w:hAnsi="Times New Roman" w:cs="Times New Roman"/>
          <w:color w:val="000000" w:themeColor="text1"/>
          <w:sz w:val="24"/>
          <w:szCs w:val="24"/>
        </w:rPr>
      </w:pPr>
    </w:p>
    <w:p w:rsidR="002346C0" w:rsidRPr="00183C19" w:rsidRDefault="002346C0" w:rsidP="00B43CE9">
      <w:pPr>
        <w:shd w:val="clear" w:color="auto" w:fill="F8F8F8"/>
        <w:spacing w:before="282" w:after="282"/>
        <w:jc w:val="both"/>
        <w:rPr>
          <w:rFonts w:ascii="Times New Roman" w:eastAsia="Times New Roman" w:hAnsi="Times New Roman" w:cs="Times New Roman"/>
          <w:color w:val="000000" w:themeColor="text1"/>
          <w:sz w:val="24"/>
          <w:szCs w:val="24"/>
        </w:rPr>
      </w:pPr>
      <w:r w:rsidRPr="00183C19">
        <w:rPr>
          <w:rFonts w:ascii="Times New Roman" w:eastAsia="Times New Roman" w:hAnsi="Times New Roman" w:cs="Times New Roman"/>
          <w:color w:val="000000" w:themeColor="text1"/>
          <w:sz w:val="24"/>
          <w:szCs w:val="24"/>
          <w:lang w:val="en-GB"/>
        </w:rPr>
        <w:t>The revolutionary methods of Bronisław Malinowski result in many theoretical works, including </w:t>
      </w:r>
      <w:r w:rsidRPr="00B43CE9">
        <w:rPr>
          <w:rFonts w:ascii="Times New Roman" w:eastAsia="Times New Roman" w:hAnsi="Times New Roman" w:cs="Times New Roman"/>
          <w:bCs/>
          <w:i/>
          <w:color w:val="000000" w:themeColor="text1"/>
          <w:sz w:val="24"/>
          <w:szCs w:val="24"/>
          <w:lang w:val="en-GB"/>
        </w:rPr>
        <w:t>Argonauts of the Western Pacific</w:t>
      </w:r>
      <w:r w:rsidRPr="00B43CE9">
        <w:rPr>
          <w:rFonts w:ascii="Times New Roman" w:eastAsia="Times New Roman" w:hAnsi="Times New Roman" w:cs="Times New Roman"/>
          <w:bCs/>
          <w:color w:val="000000" w:themeColor="text1"/>
          <w:sz w:val="24"/>
          <w:szCs w:val="24"/>
          <w:lang w:val="en-GB"/>
        </w:rPr>
        <w:t>, </w:t>
      </w:r>
      <w:r w:rsidRPr="00183C19">
        <w:rPr>
          <w:rFonts w:ascii="Times New Roman" w:eastAsia="Times New Roman" w:hAnsi="Times New Roman" w:cs="Times New Roman"/>
          <w:color w:val="000000" w:themeColor="text1"/>
          <w:sz w:val="24"/>
          <w:szCs w:val="24"/>
          <w:lang w:val="en-GB"/>
        </w:rPr>
        <w:t>the famous </w:t>
      </w:r>
      <w:r w:rsidRPr="00B43CE9">
        <w:rPr>
          <w:rFonts w:ascii="Times New Roman" w:eastAsia="Times New Roman" w:hAnsi="Times New Roman" w:cs="Times New Roman"/>
          <w:bCs/>
          <w:i/>
          <w:color w:val="000000" w:themeColor="text1"/>
          <w:sz w:val="24"/>
          <w:szCs w:val="24"/>
          <w:lang w:val="en-GB"/>
        </w:rPr>
        <w:t>The Sexual Life of Savages</w:t>
      </w:r>
      <w:r w:rsidRPr="00B43CE9">
        <w:rPr>
          <w:rFonts w:ascii="Times New Roman" w:eastAsia="Times New Roman" w:hAnsi="Times New Roman" w:cs="Times New Roman"/>
          <w:bCs/>
          <w:color w:val="000000" w:themeColor="text1"/>
          <w:sz w:val="24"/>
          <w:szCs w:val="24"/>
          <w:lang w:val="en-GB"/>
        </w:rPr>
        <w:t>, </w:t>
      </w:r>
      <w:r w:rsidRPr="00183C19">
        <w:rPr>
          <w:rFonts w:ascii="Times New Roman" w:eastAsia="Times New Roman" w:hAnsi="Times New Roman" w:cs="Times New Roman"/>
          <w:color w:val="000000" w:themeColor="text1"/>
          <w:sz w:val="24"/>
          <w:szCs w:val="24"/>
          <w:lang w:val="en-GB"/>
        </w:rPr>
        <w:t>and</w:t>
      </w:r>
      <w:r w:rsidRPr="00B43CE9">
        <w:rPr>
          <w:rFonts w:ascii="Times New Roman" w:eastAsia="Times New Roman" w:hAnsi="Times New Roman" w:cs="Times New Roman"/>
          <w:bCs/>
          <w:color w:val="000000" w:themeColor="text1"/>
          <w:sz w:val="24"/>
          <w:szCs w:val="24"/>
          <w:lang w:val="en-GB"/>
        </w:rPr>
        <w:t> </w:t>
      </w:r>
      <w:r w:rsidRPr="00B43CE9">
        <w:rPr>
          <w:rFonts w:ascii="Times New Roman" w:eastAsia="Times New Roman" w:hAnsi="Times New Roman" w:cs="Times New Roman"/>
          <w:bCs/>
          <w:i/>
          <w:color w:val="000000" w:themeColor="text1"/>
          <w:sz w:val="24"/>
          <w:szCs w:val="24"/>
          <w:lang w:val="en-GB"/>
        </w:rPr>
        <w:t>Crime and Custom in Savage Society</w:t>
      </w:r>
      <w:r w:rsidRPr="00B43CE9">
        <w:rPr>
          <w:rFonts w:ascii="Times New Roman" w:eastAsia="Times New Roman" w:hAnsi="Times New Roman" w:cs="Times New Roman"/>
          <w:bCs/>
          <w:color w:val="000000" w:themeColor="text1"/>
          <w:sz w:val="24"/>
          <w:szCs w:val="24"/>
          <w:lang w:val="en-GB"/>
        </w:rPr>
        <w:t>. </w:t>
      </w:r>
      <w:r w:rsidRPr="00183C19">
        <w:rPr>
          <w:rFonts w:ascii="Times New Roman" w:eastAsia="Times New Roman" w:hAnsi="Times New Roman" w:cs="Times New Roman"/>
          <w:color w:val="000000" w:themeColor="text1"/>
          <w:sz w:val="24"/>
          <w:szCs w:val="24"/>
          <w:lang w:val="en-GB"/>
        </w:rPr>
        <w:t>The latter work</w:t>
      </w:r>
      <w:r w:rsidR="005121E4" w:rsidRPr="00B43CE9">
        <w:rPr>
          <w:rFonts w:ascii="Times New Roman" w:eastAsia="Times New Roman" w:hAnsi="Times New Roman" w:cs="Times New Roman"/>
          <w:color w:val="000000" w:themeColor="text1"/>
          <w:sz w:val="24"/>
          <w:szCs w:val="24"/>
          <w:lang w:val="en-GB"/>
        </w:rPr>
        <w:t xml:space="preserve"> </w:t>
      </w:r>
      <w:r w:rsidRPr="00183C19">
        <w:rPr>
          <w:rFonts w:ascii="Times New Roman" w:eastAsia="Times New Roman" w:hAnsi="Times New Roman" w:cs="Times New Roman"/>
          <w:color w:val="000000" w:themeColor="text1"/>
          <w:sz w:val="24"/>
          <w:szCs w:val="24"/>
          <w:lang w:val="en-GB"/>
        </w:rPr>
        <w:t>transformed the standards of sociology and legal anthropology</w:t>
      </w:r>
      <w:r w:rsidRPr="00B43CE9">
        <w:rPr>
          <w:rFonts w:ascii="Times New Roman" w:eastAsia="Times New Roman" w:hAnsi="Times New Roman" w:cs="Times New Roman"/>
          <w:bCs/>
          <w:color w:val="000000" w:themeColor="text1"/>
          <w:sz w:val="24"/>
          <w:szCs w:val="24"/>
          <w:lang w:val="en-GB"/>
        </w:rPr>
        <w:t>.</w:t>
      </w:r>
    </w:p>
    <w:p w:rsidR="002346C0" w:rsidRPr="00B43CE9" w:rsidRDefault="002346C0" w:rsidP="00B43CE9">
      <w:pPr>
        <w:jc w:val="both"/>
        <w:rPr>
          <w:rFonts w:ascii="Times New Roman" w:hAnsi="Times New Roman" w:cs="Times New Roman"/>
          <w:color w:val="000000" w:themeColor="text1"/>
          <w:sz w:val="24"/>
          <w:szCs w:val="24"/>
          <w:shd w:val="clear" w:color="auto" w:fill="F8F8F8"/>
        </w:rPr>
      </w:pPr>
      <w:r w:rsidRPr="00B43CE9">
        <w:rPr>
          <w:rFonts w:ascii="Times New Roman" w:hAnsi="Times New Roman" w:cs="Times New Roman"/>
          <w:color w:val="000000" w:themeColor="text1"/>
          <w:sz w:val="24"/>
          <w:szCs w:val="24"/>
          <w:shd w:val="clear" w:color="auto" w:fill="F8F8F8"/>
        </w:rPr>
        <w:t>In his biography, </w:t>
      </w:r>
      <w:r w:rsidRPr="00B43CE9">
        <w:rPr>
          <w:rStyle w:val="Strong"/>
          <w:rFonts w:ascii="Times New Roman" w:hAnsi="Times New Roman" w:cs="Times New Roman"/>
          <w:b w:val="0"/>
          <w:i/>
          <w:color w:val="000000" w:themeColor="text1"/>
          <w:sz w:val="24"/>
          <w:szCs w:val="24"/>
          <w:shd w:val="clear" w:color="auto" w:fill="F8F8F8"/>
        </w:rPr>
        <w:t>Odyssey of an Anthropologist</w:t>
      </w:r>
      <w:r w:rsidRPr="00B43CE9">
        <w:rPr>
          <w:rFonts w:ascii="Times New Roman" w:hAnsi="Times New Roman" w:cs="Times New Roman"/>
          <w:color w:val="000000" w:themeColor="text1"/>
          <w:sz w:val="24"/>
          <w:szCs w:val="24"/>
          <w:shd w:val="clear" w:color="auto" w:fill="F8F8F8"/>
        </w:rPr>
        <w:t xml:space="preserve">, Michael Young </w:t>
      </w:r>
      <w:r w:rsidR="005121E4" w:rsidRPr="00B43CE9">
        <w:rPr>
          <w:rFonts w:ascii="Times New Roman" w:hAnsi="Times New Roman" w:cs="Times New Roman"/>
          <w:color w:val="000000" w:themeColor="text1"/>
          <w:sz w:val="24"/>
          <w:szCs w:val="24"/>
          <w:shd w:val="clear" w:color="auto" w:fill="F8F8F8"/>
        </w:rPr>
        <w:t>argue</w:t>
      </w:r>
      <w:r w:rsidRPr="00B43CE9">
        <w:rPr>
          <w:rFonts w:ascii="Times New Roman" w:hAnsi="Times New Roman" w:cs="Times New Roman"/>
          <w:color w:val="000000" w:themeColor="text1"/>
          <w:sz w:val="24"/>
          <w:szCs w:val="24"/>
          <w:shd w:val="clear" w:color="auto" w:fill="F8F8F8"/>
        </w:rPr>
        <w:t>s that Malinowski’s ability for meticulous observation conjoined with his writing skills serve as proof of both his great originality and his passion for explaining his own actions to himself.</w:t>
      </w:r>
    </w:p>
    <w:p w:rsidR="00584A41" w:rsidRPr="00B43CE9" w:rsidRDefault="0010742B" w:rsidP="00B43CE9">
      <w:pPr>
        <w:pStyle w:val="NormalWeb"/>
        <w:shd w:val="clear" w:color="auto" w:fill="FFFFFF"/>
        <w:spacing w:before="0" w:beforeAutospacing="0" w:after="127" w:afterAutospacing="0" w:line="276" w:lineRule="auto"/>
        <w:jc w:val="both"/>
        <w:rPr>
          <w:rStyle w:val="Strong"/>
          <w:color w:val="000000" w:themeColor="text1"/>
        </w:rPr>
      </w:pPr>
      <w:r w:rsidRPr="00B43CE9">
        <w:rPr>
          <w:rStyle w:val="Strong"/>
          <w:color w:val="000000" w:themeColor="text1"/>
        </w:rPr>
        <w:t>Engaging</w:t>
      </w:r>
      <w:r w:rsidR="00EA235C" w:rsidRPr="00B43CE9">
        <w:rPr>
          <w:rStyle w:val="Strong"/>
          <w:color w:val="000000" w:themeColor="text1"/>
        </w:rPr>
        <w:t xml:space="preserve"> in fieldwork</w:t>
      </w:r>
    </w:p>
    <w:p w:rsidR="00584A41" w:rsidRPr="00B43CE9" w:rsidRDefault="00EA235C" w:rsidP="00B43CE9">
      <w:pPr>
        <w:pStyle w:val="NormalWeb"/>
        <w:shd w:val="clear" w:color="auto" w:fill="FFFFFF"/>
        <w:spacing w:before="0" w:beforeAutospacing="0" w:after="127" w:afterAutospacing="0" w:line="276" w:lineRule="auto"/>
        <w:jc w:val="both"/>
        <w:rPr>
          <w:color w:val="000000" w:themeColor="text1"/>
        </w:rPr>
      </w:pPr>
      <w:r w:rsidRPr="00B43CE9">
        <w:rPr>
          <w:color w:val="000000" w:themeColor="text1"/>
        </w:rPr>
        <w:t xml:space="preserve">There is a general consensus amongst anthropologists today that fieldwork came to be considered part of the practice of social anthropology with the work of one of the founding fathers of British anthropology, Bronislaw Malinowski. Unlike the ‘armchair anthropologists’ before him, Malinowski advocated, instead of studying other peoples from the comfort of university libraries, going ‘into the field’: that is, living with the people he was studying, engaging in their community, learning their language, eating their food, and taking part in their everyday life. Since Malinowski’s time, fieldwork – traditionally, away from one’s own </w:t>
      </w:r>
      <w:r w:rsidRPr="00B43CE9">
        <w:rPr>
          <w:color w:val="000000" w:themeColor="text1"/>
        </w:rPr>
        <w:lastRenderedPageBreak/>
        <w:t>society – has been regarded as an essential and necessary part of an anthropologist’s professional training. Fieldwork over an extended period – typically 1-2 years - has been thought of as particular to social anthropology, and part of what distinguishes the discipline from other social sciences. Today, some anthropologists still consider that doing fieldwork in the traditional Malinowskian sense is an essential and distinguishing aspect of anthropological research. Others see fieldwork as encompassing a wide variety of practices in different settings, and as one of many different methods by which anthropologists can gain intimate knowledge of a community. Fieldwork itself is increasingly practised in highly contemporary settings, as well as the more traditional ‘remote’ ones.</w:t>
      </w:r>
    </w:p>
    <w:p w:rsidR="00584A41" w:rsidRPr="00B43CE9" w:rsidRDefault="00EA235C" w:rsidP="00B43CE9">
      <w:pPr>
        <w:pStyle w:val="NormalWeb"/>
        <w:shd w:val="clear" w:color="auto" w:fill="FFFFFF"/>
        <w:spacing w:before="0" w:beforeAutospacing="0" w:after="127" w:afterAutospacing="0" w:line="276" w:lineRule="auto"/>
        <w:jc w:val="both"/>
        <w:rPr>
          <w:rStyle w:val="Strong"/>
          <w:color w:val="000000" w:themeColor="text1"/>
        </w:rPr>
      </w:pPr>
      <w:r w:rsidRPr="00B43CE9">
        <w:rPr>
          <w:color w:val="000000" w:themeColor="text1"/>
        </w:rPr>
        <w:br/>
      </w:r>
      <w:r w:rsidR="0010742B" w:rsidRPr="00B43CE9">
        <w:rPr>
          <w:rStyle w:val="Strong"/>
          <w:color w:val="000000" w:themeColor="text1"/>
        </w:rPr>
        <w:t>Importance of fieldwork in</w:t>
      </w:r>
      <w:r w:rsidRPr="00B43CE9">
        <w:rPr>
          <w:rStyle w:val="Strong"/>
          <w:color w:val="000000" w:themeColor="text1"/>
        </w:rPr>
        <w:t xml:space="preserve"> anthropology</w:t>
      </w:r>
    </w:p>
    <w:p w:rsidR="00584A41" w:rsidRPr="00B43CE9" w:rsidRDefault="00EA235C" w:rsidP="00B43CE9">
      <w:pPr>
        <w:pStyle w:val="NormalWeb"/>
        <w:shd w:val="clear" w:color="auto" w:fill="FFFFFF"/>
        <w:spacing w:before="0" w:beforeAutospacing="0" w:after="127" w:afterAutospacing="0" w:line="276" w:lineRule="auto"/>
        <w:jc w:val="both"/>
        <w:rPr>
          <w:color w:val="000000" w:themeColor="text1"/>
        </w:rPr>
      </w:pPr>
      <w:r w:rsidRPr="00B43CE9">
        <w:rPr>
          <w:color w:val="000000" w:themeColor="text1"/>
        </w:rPr>
        <w:t>Fieldwork is among the most distinctive practices anthropologists bring to the study of human life in society. Through fieldwork, the social anthropologist seeks a detailed and intimate understanding of the context of social action and relations. Fieldwork in a previously unfamiliar setting has among its aims a deep understanding that encompasses as much as possible of an ‘insider’s’ perspective. Conducted in a more familiar setting, it can lead the anthropologist – and those for whom he or she writes – to look at everyday reality in new and unexpected ways.</w:t>
      </w:r>
    </w:p>
    <w:p w:rsidR="00EA235C" w:rsidRPr="00B43CE9" w:rsidRDefault="00EA235C" w:rsidP="00B43CE9">
      <w:pPr>
        <w:pStyle w:val="NormalWeb"/>
        <w:shd w:val="clear" w:color="auto" w:fill="FFFFFF"/>
        <w:spacing w:before="0" w:beforeAutospacing="0" w:after="127" w:afterAutospacing="0" w:line="276" w:lineRule="auto"/>
        <w:jc w:val="both"/>
        <w:rPr>
          <w:color w:val="000000" w:themeColor="text1"/>
        </w:rPr>
      </w:pPr>
      <w:r w:rsidRPr="00B43CE9">
        <w:rPr>
          <w:color w:val="000000" w:themeColor="text1"/>
        </w:rPr>
        <w:br/>
        <w:t>Where fieldwork is conducted within museums, archives, or cultural institutions, the process can be similar in that the social anthropologist seeks to understand the underlying symbolic and cultural meanings of a text, or a collection of objects. Equally, biological anthropologists frequently base research projects on human remains or artefacts held in museum collections.</w:t>
      </w:r>
    </w:p>
    <w:p w:rsidR="00584A41" w:rsidRPr="00B43CE9" w:rsidRDefault="00EA235C" w:rsidP="00B43CE9">
      <w:pPr>
        <w:pStyle w:val="NormalWeb"/>
        <w:shd w:val="clear" w:color="auto" w:fill="FFFFFF"/>
        <w:spacing w:before="0" w:beforeAutospacing="0" w:after="127" w:afterAutospacing="0" w:line="276" w:lineRule="auto"/>
        <w:jc w:val="both"/>
        <w:rPr>
          <w:rStyle w:val="Strong"/>
          <w:color w:val="000000" w:themeColor="text1"/>
        </w:rPr>
      </w:pPr>
      <w:r w:rsidRPr="00B43CE9">
        <w:rPr>
          <w:b/>
          <w:bCs/>
          <w:color w:val="000000" w:themeColor="text1"/>
        </w:rPr>
        <w:br/>
      </w:r>
      <w:r w:rsidR="0010742B" w:rsidRPr="00B43CE9">
        <w:rPr>
          <w:rStyle w:val="Strong"/>
          <w:color w:val="000000" w:themeColor="text1"/>
        </w:rPr>
        <w:t>T</w:t>
      </w:r>
      <w:r w:rsidRPr="00B43CE9">
        <w:rPr>
          <w:rStyle w:val="Strong"/>
          <w:color w:val="000000" w:themeColor="text1"/>
        </w:rPr>
        <w:t>ypes of fieldwork anthropologists undertake</w:t>
      </w:r>
    </w:p>
    <w:p w:rsidR="00EA235C" w:rsidRPr="00B43CE9" w:rsidRDefault="00EA235C" w:rsidP="00B43CE9">
      <w:pPr>
        <w:pStyle w:val="NormalWeb"/>
        <w:shd w:val="clear" w:color="auto" w:fill="FFFFFF"/>
        <w:spacing w:before="0" w:beforeAutospacing="0" w:after="127" w:afterAutospacing="0" w:line="276" w:lineRule="auto"/>
        <w:jc w:val="both"/>
        <w:rPr>
          <w:color w:val="000000" w:themeColor="text1"/>
        </w:rPr>
      </w:pPr>
      <w:r w:rsidRPr="00B43CE9">
        <w:rPr>
          <w:color w:val="000000" w:themeColor="text1"/>
        </w:rPr>
        <w:t>Fieldwork can take many different forms, shaped by factors such as: the topic of investigation, questions guiding the research, where the research will be carried out, who is funding it, external political or economic factors, the age, sex or ethnicity of the anthropologist, the technological facilities available. Newer formats for research, such as use of multiple sites and the study of large-scale centres of power such as intergovernmental organisations, are becoming increasingly common; as is the use of visual technologies and methods of presentation such as film, photography and digital media.</w:t>
      </w:r>
    </w:p>
    <w:p w:rsidR="0010742B" w:rsidRPr="00B43CE9" w:rsidRDefault="00EA235C" w:rsidP="00B43CE9">
      <w:pPr>
        <w:pStyle w:val="NormalWeb"/>
        <w:shd w:val="clear" w:color="auto" w:fill="FFFFFF"/>
        <w:spacing w:before="0" w:beforeAutospacing="0" w:after="127" w:afterAutospacing="0" w:line="276" w:lineRule="auto"/>
        <w:jc w:val="both"/>
        <w:rPr>
          <w:rStyle w:val="Strong"/>
          <w:color w:val="000000" w:themeColor="text1"/>
        </w:rPr>
      </w:pPr>
      <w:r w:rsidRPr="00B43CE9">
        <w:rPr>
          <w:color w:val="000000" w:themeColor="text1"/>
        </w:rPr>
        <w:br/>
      </w:r>
      <w:r w:rsidR="0010742B" w:rsidRPr="00B43CE9">
        <w:rPr>
          <w:rStyle w:val="Strong"/>
          <w:color w:val="000000" w:themeColor="text1"/>
        </w:rPr>
        <w:t>Fieldwork</w:t>
      </w:r>
      <w:r w:rsidRPr="00B43CE9">
        <w:rPr>
          <w:rStyle w:val="Strong"/>
          <w:color w:val="000000" w:themeColor="text1"/>
        </w:rPr>
        <w:t xml:space="preserve"> methods anthropologists </w:t>
      </w:r>
    </w:p>
    <w:p w:rsidR="00584A41" w:rsidRPr="00B43CE9" w:rsidRDefault="00EA235C" w:rsidP="00B43CE9">
      <w:pPr>
        <w:pStyle w:val="NormalWeb"/>
        <w:shd w:val="clear" w:color="auto" w:fill="FFFFFF"/>
        <w:spacing w:before="0" w:beforeAutospacing="0" w:after="127" w:afterAutospacing="0" w:line="276" w:lineRule="auto"/>
        <w:jc w:val="both"/>
        <w:rPr>
          <w:color w:val="000000" w:themeColor="text1"/>
        </w:rPr>
      </w:pPr>
      <w:r w:rsidRPr="00B43CE9">
        <w:rPr>
          <w:color w:val="000000" w:themeColor="text1"/>
        </w:rPr>
        <w:t xml:space="preserve">Anthropologists may assemble data in numerous ways. They may gather quantitative information by conducting surveys or analysing records such as historical archives, government reports and censuses. Quantitative data is often useful for biological anthropologists in mapping physical traits within a population, or making cross-population comparisons. Quantitative information is also useful and often necessary when anthropologists work on interdisciplinary projects with other specialists. However, for the most part social anthropologists concentrate on gathering qualitative data. They do so by </w:t>
      </w:r>
      <w:r w:rsidRPr="00B43CE9">
        <w:rPr>
          <w:color w:val="000000" w:themeColor="text1"/>
        </w:rPr>
        <w:lastRenderedPageBreak/>
        <w:t>conducting individual and group interviews, by undertaking oral histories, through online discussion forums and, most importantly, through the Malinowskian tradition of ‘participant observation’.</w:t>
      </w:r>
      <w:r w:rsidRPr="00B43CE9">
        <w:rPr>
          <w:color w:val="000000" w:themeColor="text1"/>
        </w:rPr>
        <w:br/>
      </w:r>
      <w:r w:rsidRPr="00B43CE9">
        <w:rPr>
          <w:color w:val="000000" w:themeColor="text1"/>
        </w:rPr>
        <w:br/>
        <w:t>Participant observation enables the social anthropologist to undertake detailed, lengthy and often complex observations of social life in fine detail. It may be directed to such disparate groups as a virtual network, a tribal village, or an activist group in an urban environment. By participating in the fabric of daily life as well as more formal ceremonies and rituals, and discussing his/her developing ideas with willing members of the community (‘informants’) the fieldworker builds up a progressively deeper understanding of what is happening. Many fieldworkers find this a personally transforming experience.</w:t>
      </w:r>
    </w:p>
    <w:p w:rsidR="00EA235C" w:rsidRPr="00B43CE9" w:rsidRDefault="00EA235C" w:rsidP="00B43CE9">
      <w:pPr>
        <w:pStyle w:val="NormalWeb"/>
        <w:shd w:val="clear" w:color="auto" w:fill="FFFFFF"/>
        <w:spacing w:before="0" w:beforeAutospacing="0" w:after="127" w:afterAutospacing="0" w:line="276" w:lineRule="auto"/>
        <w:jc w:val="both"/>
        <w:rPr>
          <w:color w:val="000000" w:themeColor="text1"/>
        </w:rPr>
      </w:pPr>
      <w:r w:rsidRPr="00B43CE9">
        <w:rPr>
          <w:color w:val="000000" w:themeColor="text1"/>
        </w:rPr>
        <w:br/>
        <w:t>A variant of participant observation also exists within biological anthropology, where primatologists may analyse the social dynamics of a monkey or ape society by spending long periods observing the group and being to some extent accepted by it. However, the crucial difference is that only human beings can talk to the anthropologist and reflect on their society through language.</w:t>
      </w:r>
    </w:p>
    <w:p w:rsidR="00584A41" w:rsidRPr="00B43CE9" w:rsidRDefault="00EA235C" w:rsidP="00B43CE9">
      <w:pPr>
        <w:pStyle w:val="NormalWeb"/>
        <w:spacing w:before="0" w:beforeAutospacing="0" w:after="127" w:afterAutospacing="0" w:line="276" w:lineRule="auto"/>
        <w:jc w:val="both"/>
        <w:rPr>
          <w:rStyle w:val="Strong"/>
          <w:color w:val="000000" w:themeColor="text1"/>
          <w:shd w:val="clear" w:color="auto" w:fill="FFFFFF"/>
        </w:rPr>
      </w:pPr>
      <w:r w:rsidRPr="00B43CE9">
        <w:rPr>
          <w:color w:val="000000" w:themeColor="text1"/>
          <w:shd w:val="clear" w:color="auto" w:fill="FFFFFF"/>
        </w:rPr>
        <w:br/>
      </w:r>
      <w:r w:rsidR="0010742B" w:rsidRPr="00B43CE9">
        <w:rPr>
          <w:rStyle w:val="Strong"/>
          <w:color w:val="000000" w:themeColor="text1"/>
          <w:shd w:val="clear" w:color="auto" w:fill="FFFFFF"/>
        </w:rPr>
        <w:t xml:space="preserve"> Use of </w:t>
      </w:r>
      <w:r w:rsidRPr="00B43CE9">
        <w:rPr>
          <w:rStyle w:val="Strong"/>
          <w:color w:val="000000" w:themeColor="text1"/>
          <w:shd w:val="clear" w:color="auto" w:fill="FFFFFF"/>
        </w:rPr>
        <w:t>the material collected</w:t>
      </w:r>
      <w:r w:rsidR="0010742B" w:rsidRPr="00B43CE9">
        <w:rPr>
          <w:rStyle w:val="Strong"/>
          <w:color w:val="000000" w:themeColor="text1"/>
          <w:shd w:val="clear" w:color="auto" w:fill="FFFFFF"/>
        </w:rPr>
        <w:t xml:space="preserve"> through fieldwork</w:t>
      </w:r>
    </w:p>
    <w:p w:rsidR="00EA235C" w:rsidRPr="00B43CE9" w:rsidRDefault="00EA235C" w:rsidP="00B43CE9">
      <w:pPr>
        <w:pStyle w:val="NormalWeb"/>
        <w:spacing w:before="0" w:beforeAutospacing="0" w:after="127" w:afterAutospacing="0" w:line="276" w:lineRule="auto"/>
        <w:jc w:val="both"/>
        <w:rPr>
          <w:color w:val="000000" w:themeColor="text1"/>
          <w:shd w:val="clear" w:color="auto" w:fill="FFFFFF"/>
        </w:rPr>
      </w:pPr>
      <w:r w:rsidRPr="00B43CE9">
        <w:rPr>
          <w:color w:val="000000" w:themeColor="text1"/>
          <w:shd w:val="clear" w:color="auto" w:fill="FFFFFF"/>
        </w:rPr>
        <w:t>Anthropologists may write up their data in reports, articles, or journal contributions. Where the project is interdisciplinary or team-based, these may be co-authored. Alternatively, they may describe their experiences and findings in the form of </w:t>
      </w:r>
      <w:r w:rsidR="00584A41" w:rsidRPr="00B43CE9">
        <w:rPr>
          <w:color w:val="000000" w:themeColor="text1"/>
          <w:shd w:val="clear" w:color="auto" w:fill="FFFFFF"/>
        </w:rPr>
        <w:t xml:space="preserve">an </w:t>
      </w:r>
      <w:hyperlink r:id="rId8" w:tgtFrame="_blank" w:history="1">
        <w:r w:rsidR="00584A41" w:rsidRPr="00B43CE9">
          <w:rPr>
            <w:rStyle w:val="Hyperlink"/>
            <w:color w:val="000000" w:themeColor="text1"/>
            <w:u w:val="none"/>
            <w:shd w:val="clear" w:color="auto" w:fill="FFFFFF"/>
          </w:rPr>
          <w:t>ethnography</w:t>
        </w:r>
      </w:hyperlink>
      <w:r w:rsidRPr="00B43CE9">
        <w:rPr>
          <w:color w:val="000000" w:themeColor="text1"/>
          <w:shd w:val="clear" w:color="auto" w:fill="FFFFFF"/>
        </w:rPr>
        <w:t>.</w:t>
      </w:r>
    </w:p>
    <w:p w:rsidR="00F05678" w:rsidRDefault="00F05678" w:rsidP="00B43CE9">
      <w:pPr>
        <w:pStyle w:val="NormalWeb"/>
        <w:shd w:val="clear" w:color="auto" w:fill="FFFFFF"/>
        <w:spacing w:before="0" w:beforeAutospacing="0" w:after="282" w:afterAutospacing="0" w:line="276" w:lineRule="auto"/>
        <w:jc w:val="both"/>
        <w:rPr>
          <w:rStyle w:val="Strong"/>
          <w:color w:val="000000" w:themeColor="text1"/>
        </w:rPr>
      </w:pPr>
    </w:p>
    <w:p w:rsidR="000640C7" w:rsidRPr="00B43CE9" w:rsidRDefault="00DE215C" w:rsidP="00B43CE9">
      <w:pPr>
        <w:pStyle w:val="NormalWeb"/>
        <w:shd w:val="clear" w:color="auto" w:fill="FFFFFF"/>
        <w:spacing w:before="0" w:beforeAutospacing="0" w:after="282" w:afterAutospacing="0" w:line="276" w:lineRule="auto"/>
        <w:jc w:val="both"/>
        <w:rPr>
          <w:color w:val="000000" w:themeColor="text1"/>
        </w:rPr>
      </w:pPr>
      <w:r w:rsidRPr="00B43CE9">
        <w:rPr>
          <w:rStyle w:val="Strong"/>
          <w:color w:val="000000" w:themeColor="text1"/>
        </w:rPr>
        <w:t>References</w:t>
      </w:r>
    </w:p>
    <w:p w:rsidR="00DE215C" w:rsidRPr="00B43CE9" w:rsidRDefault="00F05678" w:rsidP="00F06CE0">
      <w:pPr>
        <w:pStyle w:val="NormalWeb"/>
        <w:shd w:val="clear" w:color="auto" w:fill="FFFFFF"/>
        <w:spacing w:before="0" w:beforeAutospacing="0" w:after="120" w:afterAutospacing="0" w:line="276" w:lineRule="auto"/>
        <w:ind w:left="567" w:hanging="567"/>
        <w:jc w:val="both"/>
        <w:rPr>
          <w:color w:val="000000" w:themeColor="text1"/>
        </w:rPr>
      </w:pPr>
      <w:r>
        <w:rPr>
          <w:color w:val="000000" w:themeColor="text1"/>
        </w:rPr>
        <w:t>Adam Kuper (2015).</w:t>
      </w:r>
      <w:r w:rsidR="00DE215C" w:rsidRPr="00B43CE9">
        <w:rPr>
          <w:color w:val="000000" w:themeColor="text1"/>
        </w:rPr>
        <w:t xml:space="preserve"> ‘Commentary’ on Young, ‘Teaching at the LSE: Michaelmas 1924’. Presentation to: ‘Celebrating LSE’s 120</w:t>
      </w:r>
      <w:r w:rsidR="00DE215C" w:rsidRPr="00B43CE9">
        <w:rPr>
          <w:color w:val="000000" w:themeColor="text1"/>
          <w:vertAlign w:val="superscript"/>
        </w:rPr>
        <w:t>th</w:t>
      </w:r>
      <w:r w:rsidR="00DE215C" w:rsidRPr="00B43CE9">
        <w:rPr>
          <w:color w:val="000000" w:themeColor="text1"/>
        </w:rPr>
        <w:t> anniversary in the Department of Anthropology’, December 2015.</w:t>
      </w:r>
    </w:p>
    <w:p w:rsidR="00DE215C" w:rsidRPr="00B43CE9" w:rsidRDefault="00DE215C" w:rsidP="00F06CE0">
      <w:pPr>
        <w:pStyle w:val="NormalWeb"/>
        <w:shd w:val="clear" w:color="auto" w:fill="FFFFFF"/>
        <w:spacing w:before="0" w:beforeAutospacing="0" w:after="120" w:afterAutospacing="0" w:line="276" w:lineRule="auto"/>
        <w:ind w:left="567" w:hanging="567"/>
        <w:jc w:val="both"/>
        <w:rPr>
          <w:color w:val="000000" w:themeColor="text1"/>
        </w:rPr>
      </w:pPr>
      <w:r w:rsidRPr="00B43CE9">
        <w:rPr>
          <w:color w:val="000000" w:themeColor="text1"/>
        </w:rPr>
        <w:t>Bronislaw Malinowski, 2005 [1922], </w:t>
      </w:r>
      <w:r w:rsidRPr="00B43CE9">
        <w:rPr>
          <w:rStyle w:val="Emphasis"/>
          <w:color w:val="000000" w:themeColor="text1"/>
        </w:rPr>
        <w:t>Argonauts of the Western Pacific: An account of native enterprise and adventure in the archipelagos of Melanesian New Guinea</w:t>
      </w:r>
      <w:r w:rsidRPr="00B43CE9">
        <w:rPr>
          <w:color w:val="000000" w:themeColor="text1"/>
        </w:rPr>
        <w:t xml:space="preserve">. London: Taylor &amp; Francis. </w:t>
      </w:r>
    </w:p>
    <w:p w:rsidR="00DE215C" w:rsidRPr="00B43CE9" w:rsidRDefault="00DE215C" w:rsidP="00F06CE0">
      <w:pPr>
        <w:pStyle w:val="NormalWeb"/>
        <w:shd w:val="clear" w:color="auto" w:fill="FFFFFF"/>
        <w:spacing w:before="0" w:beforeAutospacing="0" w:after="120" w:afterAutospacing="0" w:line="276" w:lineRule="auto"/>
        <w:ind w:left="567" w:hanging="567"/>
        <w:jc w:val="both"/>
        <w:rPr>
          <w:color w:val="000000" w:themeColor="text1"/>
        </w:rPr>
      </w:pPr>
      <w:r w:rsidRPr="00B43CE9">
        <w:rPr>
          <w:color w:val="000000" w:themeColor="text1"/>
        </w:rPr>
        <w:t>Maurice Bloch</w:t>
      </w:r>
      <w:r w:rsidR="00EB4EEC" w:rsidRPr="00B43CE9">
        <w:rPr>
          <w:color w:val="000000" w:themeColor="text1"/>
        </w:rPr>
        <w:t xml:space="preserve"> (2015).</w:t>
      </w:r>
      <w:r w:rsidRPr="00B43CE9">
        <w:rPr>
          <w:color w:val="000000" w:themeColor="text1"/>
        </w:rPr>
        <w:t xml:space="preserve"> ‘On the department in more recent times’. Presentation to: ‘Celebrating LSE’s 120</w:t>
      </w:r>
      <w:r w:rsidRPr="00B43CE9">
        <w:rPr>
          <w:color w:val="000000" w:themeColor="text1"/>
          <w:vertAlign w:val="superscript"/>
        </w:rPr>
        <w:t>th</w:t>
      </w:r>
      <w:r w:rsidRPr="00B43CE9">
        <w:rPr>
          <w:color w:val="000000" w:themeColor="text1"/>
        </w:rPr>
        <w:t> anniversary in the Department of Anthropology’, December 2015.</w:t>
      </w:r>
    </w:p>
    <w:p w:rsidR="00DE215C" w:rsidRPr="00B43CE9" w:rsidRDefault="00EB4EEC" w:rsidP="00F06CE0">
      <w:pPr>
        <w:pStyle w:val="NormalWeb"/>
        <w:shd w:val="clear" w:color="auto" w:fill="FFFFFF"/>
        <w:spacing w:before="0" w:beforeAutospacing="0" w:after="120" w:afterAutospacing="0" w:line="276" w:lineRule="auto"/>
        <w:ind w:left="567" w:hanging="567"/>
        <w:jc w:val="both"/>
        <w:rPr>
          <w:color w:val="000000" w:themeColor="text1"/>
        </w:rPr>
      </w:pPr>
      <w:r w:rsidRPr="00B43CE9">
        <w:rPr>
          <w:color w:val="000000" w:themeColor="text1"/>
        </w:rPr>
        <w:t>Michael Cox (2015).</w:t>
      </w:r>
      <w:r w:rsidR="00DE215C" w:rsidRPr="00B43CE9">
        <w:rPr>
          <w:color w:val="000000" w:themeColor="text1"/>
        </w:rPr>
        <w:t xml:space="preserve"> ‘The place of anthropology in the LSE, c. 1930-1950’. Presentation to: ‘Celebrating LSE’s 120</w:t>
      </w:r>
      <w:r w:rsidR="00DE215C" w:rsidRPr="00B43CE9">
        <w:rPr>
          <w:color w:val="000000" w:themeColor="text1"/>
          <w:vertAlign w:val="superscript"/>
        </w:rPr>
        <w:t>th</w:t>
      </w:r>
      <w:r w:rsidR="00DE215C" w:rsidRPr="00B43CE9">
        <w:rPr>
          <w:color w:val="000000" w:themeColor="text1"/>
        </w:rPr>
        <w:t> anniversary in the Department of Anthropology’, December 2015.</w:t>
      </w:r>
    </w:p>
    <w:p w:rsidR="00DE215C" w:rsidRPr="00B43CE9" w:rsidRDefault="00DE215C" w:rsidP="00F06CE0">
      <w:pPr>
        <w:pStyle w:val="NormalWeb"/>
        <w:shd w:val="clear" w:color="auto" w:fill="FFFFFF"/>
        <w:spacing w:before="0" w:beforeAutospacing="0" w:after="120" w:afterAutospacing="0" w:line="276" w:lineRule="auto"/>
        <w:ind w:left="567" w:hanging="567"/>
        <w:jc w:val="both"/>
        <w:rPr>
          <w:color w:val="000000" w:themeColor="text1"/>
        </w:rPr>
      </w:pPr>
      <w:r w:rsidRPr="00B43CE9">
        <w:rPr>
          <w:color w:val="000000" w:themeColor="text1"/>
        </w:rPr>
        <w:t>Raymond Firth, in Firth (ed.), 2002 [1957]. </w:t>
      </w:r>
      <w:r w:rsidRPr="00B43CE9">
        <w:rPr>
          <w:rStyle w:val="Emphasis"/>
          <w:color w:val="000000" w:themeColor="text1"/>
        </w:rPr>
        <w:t>Man and culture: An evaluation of the work of Bronislaw Malinowski</w:t>
      </w:r>
      <w:r w:rsidRPr="00B43CE9">
        <w:rPr>
          <w:color w:val="000000" w:themeColor="text1"/>
        </w:rPr>
        <w:t>. Abingdon: Routledge.</w:t>
      </w:r>
    </w:p>
    <w:p w:rsidR="00DE215C" w:rsidRPr="00B43CE9" w:rsidRDefault="00DE215C" w:rsidP="00F06CE0">
      <w:pPr>
        <w:pStyle w:val="NormalWeb"/>
        <w:shd w:val="clear" w:color="auto" w:fill="FFFFFF"/>
        <w:spacing w:before="0" w:beforeAutospacing="0" w:after="120" w:afterAutospacing="0" w:line="276" w:lineRule="auto"/>
        <w:ind w:left="567" w:hanging="567"/>
        <w:jc w:val="both"/>
        <w:rPr>
          <w:color w:val="000000" w:themeColor="text1"/>
        </w:rPr>
      </w:pPr>
      <w:r w:rsidRPr="00B43CE9">
        <w:rPr>
          <w:color w:val="000000" w:themeColor="text1"/>
        </w:rPr>
        <w:lastRenderedPageBreak/>
        <w:t>Young, ‘Teaching at the LSE: Michaelmas 1924’, p. 5, in: ‘Malinowski’ (Volume II), unpublished ms.</w:t>
      </w:r>
    </w:p>
    <w:p w:rsidR="000640C7" w:rsidRPr="00B43CE9" w:rsidRDefault="000640C7" w:rsidP="00B43CE9">
      <w:pPr>
        <w:jc w:val="both"/>
        <w:rPr>
          <w:rFonts w:ascii="Times New Roman" w:hAnsi="Times New Roman" w:cs="Times New Roman"/>
          <w:color w:val="000000" w:themeColor="text1"/>
          <w:sz w:val="24"/>
          <w:szCs w:val="24"/>
        </w:rPr>
      </w:pPr>
    </w:p>
    <w:sectPr w:rsidR="000640C7" w:rsidRPr="00B43CE9" w:rsidSect="006A770D">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02F" w:rsidRDefault="0071402F" w:rsidP="00A54EE1">
      <w:pPr>
        <w:spacing w:after="0" w:line="240" w:lineRule="auto"/>
      </w:pPr>
      <w:r>
        <w:separator/>
      </w:r>
    </w:p>
  </w:endnote>
  <w:endnote w:type="continuationSeparator" w:id="1">
    <w:p w:rsidR="0071402F" w:rsidRDefault="0071402F" w:rsidP="00A54E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3A9" w:rsidRPr="004073A9" w:rsidRDefault="004073A9">
    <w:pPr>
      <w:pStyle w:val="Footer"/>
      <w:rPr>
        <w:i/>
      </w:rPr>
    </w:pPr>
    <w:r w:rsidRPr="004073A9">
      <w:rPr>
        <w:i/>
      </w:rPr>
      <w:t>DM/Course No.ANT402B</w:t>
    </w:r>
  </w:p>
  <w:p w:rsidR="00A54EE1" w:rsidRDefault="00A54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02F" w:rsidRDefault="0071402F" w:rsidP="00A54EE1">
      <w:pPr>
        <w:spacing w:after="0" w:line="240" w:lineRule="auto"/>
      </w:pPr>
      <w:r>
        <w:separator/>
      </w:r>
    </w:p>
  </w:footnote>
  <w:footnote w:type="continuationSeparator" w:id="1">
    <w:p w:rsidR="0071402F" w:rsidRDefault="0071402F" w:rsidP="00A54E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useFELayout/>
  </w:compat>
  <w:rsids>
    <w:rsidRoot w:val="00183C19"/>
    <w:rsid w:val="000640C7"/>
    <w:rsid w:val="000A3FEB"/>
    <w:rsid w:val="001057D8"/>
    <w:rsid w:val="00105B8A"/>
    <w:rsid w:val="0010742B"/>
    <w:rsid w:val="00183C19"/>
    <w:rsid w:val="001E083A"/>
    <w:rsid w:val="002346C0"/>
    <w:rsid w:val="003A7452"/>
    <w:rsid w:val="004073A9"/>
    <w:rsid w:val="004367FD"/>
    <w:rsid w:val="004D197D"/>
    <w:rsid w:val="005121E4"/>
    <w:rsid w:val="00584A41"/>
    <w:rsid w:val="006A770D"/>
    <w:rsid w:val="0071402F"/>
    <w:rsid w:val="00892D75"/>
    <w:rsid w:val="008A2A4E"/>
    <w:rsid w:val="00957571"/>
    <w:rsid w:val="00A531E2"/>
    <w:rsid w:val="00A54EE1"/>
    <w:rsid w:val="00B43CE9"/>
    <w:rsid w:val="00DE215C"/>
    <w:rsid w:val="00E21135"/>
    <w:rsid w:val="00EA235C"/>
    <w:rsid w:val="00EB4EEC"/>
    <w:rsid w:val="00F05678"/>
    <w:rsid w:val="00F06CE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70D"/>
  </w:style>
  <w:style w:type="paragraph" w:styleId="Heading2">
    <w:name w:val="heading 2"/>
    <w:basedOn w:val="Normal"/>
    <w:link w:val="Heading2Char"/>
    <w:uiPriority w:val="9"/>
    <w:qFormat/>
    <w:rsid w:val="00183C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3C1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83C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3C19"/>
    <w:rPr>
      <w:b/>
      <w:bCs/>
    </w:rPr>
  </w:style>
  <w:style w:type="character" w:styleId="Hyperlink">
    <w:name w:val="Hyperlink"/>
    <w:basedOn w:val="DefaultParagraphFont"/>
    <w:uiPriority w:val="99"/>
    <w:semiHidden/>
    <w:unhideWhenUsed/>
    <w:rsid w:val="00E21135"/>
    <w:rPr>
      <w:color w:val="0000FF"/>
      <w:u w:val="single"/>
    </w:rPr>
  </w:style>
  <w:style w:type="character" w:styleId="Emphasis">
    <w:name w:val="Emphasis"/>
    <w:basedOn w:val="DefaultParagraphFont"/>
    <w:uiPriority w:val="20"/>
    <w:qFormat/>
    <w:rsid w:val="000640C7"/>
    <w:rPr>
      <w:i/>
      <w:iCs/>
    </w:rPr>
  </w:style>
  <w:style w:type="paragraph" w:styleId="Header">
    <w:name w:val="header"/>
    <w:basedOn w:val="Normal"/>
    <w:link w:val="HeaderChar"/>
    <w:uiPriority w:val="99"/>
    <w:semiHidden/>
    <w:unhideWhenUsed/>
    <w:rsid w:val="00A54EE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54EE1"/>
  </w:style>
  <w:style w:type="paragraph" w:styleId="Footer">
    <w:name w:val="footer"/>
    <w:basedOn w:val="Normal"/>
    <w:link w:val="FooterChar"/>
    <w:uiPriority w:val="99"/>
    <w:unhideWhenUsed/>
    <w:rsid w:val="00A54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EE1"/>
  </w:style>
  <w:style w:type="paragraph" w:styleId="BalloonText">
    <w:name w:val="Balloon Text"/>
    <w:basedOn w:val="Normal"/>
    <w:link w:val="BalloonTextChar"/>
    <w:uiPriority w:val="99"/>
    <w:semiHidden/>
    <w:unhideWhenUsed/>
    <w:rsid w:val="00407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3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6584933">
      <w:bodyDiv w:val="1"/>
      <w:marLeft w:val="0"/>
      <w:marRight w:val="0"/>
      <w:marTop w:val="0"/>
      <w:marBottom w:val="0"/>
      <w:divBdr>
        <w:top w:val="none" w:sz="0" w:space="0" w:color="auto"/>
        <w:left w:val="none" w:sz="0" w:space="0" w:color="auto"/>
        <w:bottom w:val="none" w:sz="0" w:space="0" w:color="auto"/>
        <w:right w:val="none" w:sz="0" w:space="0" w:color="auto"/>
      </w:divBdr>
    </w:div>
    <w:div w:id="753207190">
      <w:bodyDiv w:val="1"/>
      <w:marLeft w:val="0"/>
      <w:marRight w:val="0"/>
      <w:marTop w:val="0"/>
      <w:marBottom w:val="0"/>
      <w:divBdr>
        <w:top w:val="none" w:sz="0" w:space="0" w:color="auto"/>
        <w:left w:val="none" w:sz="0" w:space="0" w:color="auto"/>
        <w:bottom w:val="none" w:sz="0" w:space="0" w:color="auto"/>
        <w:right w:val="none" w:sz="0" w:space="0" w:color="auto"/>
      </w:divBdr>
    </w:div>
    <w:div w:id="928465346">
      <w:bodyDiv w:val="1"/>
      <w:marLeft w:val="0"/>
      <w:marRight w:val="0"/>
      <w:marTop w:val="0"/>
      <w:marBottom w:val="0"/>
      <w:divBdr>
        <w:top w:val="none" w:sz="0" w:space="0" w:color="auto"/>
        <w:left w:val="none" w:sz="0" w:space="0" w:color="auto"/>
        <w:bottom w:val="none" w:sz="0" w:space="0" w:color="auto"/>
        <w:right w:val="none" w:sz="0" w:space="0" w:color="auto"/>
      </w:divBdr>
    </w:div>
    <w:div w:id="1083604155">
      <w:bodyDiv w:val="1"/>
      <w:marLeft w:val="0"/>
      <w:marRight w:val="0"/>
      <w:marTop w:val="0"/>
      <w:marBottom w:val="0"/>
      <w:divBdr>
        <w:top w:val="none" w:sz="0" w:space="0" w:color="auto"/>
        <w:left w:val="none" w:sz="0" w:space="0" w:color="auto"/>
        <w:bottom w:val="none" w:sz="0" w:space="0" w:color="auto"/>
        <w:right w:val="none" w:sz="0" w:space="0" w:color="auto"/>
      </w:divBdr>
      <w:divsChild>
        <w:div w:id="1595355848">
          <w:marLeft w:val="0"/>
          <w:marRight w:val="0"/>
          <w:marTop w:val="282"/>
          <w:marBottom w:val="0"/>
          <w:divBdr>
            <w:top w:val="none" w:sz="0" w:space="0" w:color="auto"/>
            <w:left w:val="none" w:sz="0" w:space="0" w:color="auto"/>
            <w:bottom w:val="none" w:sz="0" w:space="0" w:color="auto"/>
            <w:right w:val="none" w:sz="0" w:space="0" w:color="auto"/>
          </w:divBdr>
          <w:divsChild>
            <w:div w:id="1757819770">
              <w:marLeft w:val="0"/>
              <w:marRight w:val="0"/>
              <w:marTop w:val="0"/>
              <w:marBottom w:val="0"/>
              <w:divBdr>
                <w:top w:val="none" w:sz="0" w:space="0" w:color="auto"/>
                <w:left w:val="none" w:sz="0" w:space="0" w:color="auto"/>
                <w:bottom w:val="none" w:sz="0" w:space="0" w:color="auto"/>
                <w:right w:val="none" w:sz="0" w:space="0" w:color="auto"/>
              </w:divBdr>
              <w:divsChild>
                <w:div w:id="13800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561495">
          <w:marLeft w:val="0"/>
          <w:marRight w:val="0"/>
          <w:marTop w:val="282"/>
          <w:marBottom w:val="0"/>
          <w:divBdr>
            <w:top w:val="none" w:sz="0" w:space="0" w:color="auto"/>
            <w:left w:val="none" w:sz="0" w:space="0" w:color="auto"/>
            <w:bottom w:val="none" w:sz="0" w:space="0" w:color="auto"/>
            <w:right w:val="none" w:sz="0" w:space="0" w:color="auto"/>
          </w:divBdr>
          <w:divsChild>
            <w:div w:id="1670207457">
              <w:marLeft w:val="0"/>
              <w:marRight w:val="0"/>
              <w:marTop w:val="0"/>
              <w:marBottom w:val="0"/>
              <w:divBdr>
                <w:top w:val="none" w:sz="0" w:space="0" w:color="auto"/>
                <w:left w:val="none" w:sz="0" w:space="0" w:color="auto"/>
                <w:bottom w:val="none" w:sz="0" w:space="0" w:color="auto"/>
                <w:right w:val="none" w:sz="0" w:space="0" w:color="auto"/>
              </w:divBdr>
              <w:divsChild>
                <w:div w:id="11097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03752">
          <w:marLeft w:val="0"/>
          <w:marRight w:val="0"/>
          <w:marTop w:val="282"/>
          <w:marBottom w:val="0"/>
          <w:divBdr>
            <w:top w:val="none" w:sz="0" w:space="0" w:color="auto"/>
            <w:left w:val="none" w:sz="0" w:space="0" w:color="auto"/>
            <w:bottom w:val="none" w:sz="0" w:space="0" w:color="auto"/>
            <w:right w:val="none" w:sz="0" w:space="0" w:color="auto"/>
          </w:divBdr>
          <w:divsChild>
            <w:div w:id="95911472">
              <w:marLeft w:val="0"/>
              <w:marRight w:val="0"/>
              <w:marTop w:val="0"/>
              <w:marBottom w:val="0"/>
              <w:divBdr>
                <w:top w:val="none" w:sz="0" w:space="0" w:color="auto"/>
                <w:left w:val="none" w:sz="0" w:space="0" w:color="auto"/>
                <w:bottom w:val="none" w:sz="0" w:space="0" w:color="auto"/>
                <w:right w:val="none" w:sz="0" w:space="0" w:color="auto"/>
              </w:divBdr>
              <w:divsChild>
                <w:div w:id="76214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034">
          <w:marLeft w:val="0"/>
          <w:marRight w:val="0"/>
          <w:marTop w:val="282"/>
          <w:marBottom w:val="0"/>
          <w:divBdr>
            <w:top w:val="none" w:sz="0" w:space="0" w:color="auto"/>
            <w:left w:val="none" w:sz="0" w:space="0" w:color="auto"/>
            <w:bottom w:val="none" w:sz="0" w:space="0" w:color="auto"/>
            <w:right w:val="none" w:sz="0" w:space="0" w:color="auto"/>
          </w:divBdr>
          <w:divsChild>
            <w:div w:id="944994508">
              <w:marLeft w:val="0"/>
              <w:marRight w:val="0"/>
              <w:marTop w:val="0"/>
              <w:marBottom w:val="0"/>
              <w:divBdr>
                <w:top w:val="none" w:sz="0" w:space="0" w:color="auto"/>
                <w:left w:val="none" w:sz="0" w:space="0" w:color="auto"/>
                <w:bottom w:val="none" w:sz="0" w:space="0" w:color="auto"/>
                <w:right w:val="none" w:sz="0" w:space="0" w:color="auto"/>
              </w:divBdr>
              <w:divsChild>
                <w:div w:id="12497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28379">
      <w:bodyDiv w:val="1"/>
      <w:marLeft w:val="0"/>
      <w:marRight w:val="0"/>
      <w:marTop w:val="0"/>
      <w:marBottom w:val="0"/>
      <w:divBdr>
        <w:top w:val="none" w:sz="0" w:space="0" w:color="auto"/>
        <w:left w:val="none" w:sz="0" w:space="0" w:color="auto"/>
        <w:bottom w:val="none" w:sz="0" w:space="0" w:color="auto"/>
        <w:right w:val="none" w:sz="0" w:space="0" w:color="auto"/>
      </w:divBdr>
    </w:div>
    <w:div w:id="163521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scoveranthropology.org.uk/about-anthropology/fieldwork/ethnography.html" TargetMode="External"/><Relationship Id="rId3" Type="http://schemas.openxmlformats.org/officeDocument/2006/relationships/webSettings" Target="webSettings.xml"/><Relationship Id="rId7" Type="http://schemas.openxmlformats.org/officeDocument/2006/relationships/hyperlink" Target="https://blogs.lse.ac.uk/lsehistory/2016/03/23/audrey-richards-a-career-in-anthropolog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ulture.pl/en/artist/stanislaw-ignacy-witkiewicz-witka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25</cp:revision>
  <dcterms:created xsi:type="dcterms:W3CDTF">2020-04-26T03:01:00Z</dcterms:created>
  <dcterms:modified xsi:type="dcterms:W3CDTF">2020-04-29T11:27:00Z</dcterms:modified>
</cp:coreProperties>
</file>